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B2A" w:rsidRPr="00A14B2A" w:rsidRDefault="00A14B2A" w:rsidP="00A14B2A">
      <w:pPr>
        <w:pStyle w:val="a3"/>
        <w:rPr>
          <w:sz w:val="36"/>
          <w:szCs w:val="36"/>
        </w:rPr>
      </w:pPr>
      <w:r w:rsidRPr="00A14B2A">
        <w:rPr>
          <w:rFonts w:hint="eastAsia"/>
          <w:sz w:val="36"/>
          <w:szCs w:val="36"/>
        </w:rPr>
        <w:t>新規掲載薬</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5"/>
        <w:gridCol w:w="2740"/>
        <w:gridCol w:w="2755"/>
      </w:tblGrid>
      <w:tr w:rsidR="00A14B2A" w:rsidRPr="00A14B2A" w:rsidTr="00A14B2A">
        <w:trPr>
          <w:tblCellSpacing w:w="15" w:type="dxa"/>
        </w:trPr>
        <w:tc>
          <w:tcPr>
            <w:tcW w:w="0" w:type="auto"/>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b/>
                <w:bCs/>
                <w:color w:val="333333"/>
                <w:sz w:val="20"/>
                <w:szCs w:val="20"/>
              </w:rPr>
              <w:t>厚生労働省告示第386号</w:t>
            </w:r>
          </w:p>
        </w:tc>
        <w:tc>
          <w:tcPr>
            <w:tcW w:w="0" w:type="auto"/>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b/>
                <w:bCs/>
                <w:color w:val="333333"/>
                <w:sz w:val="20"/>
                <w:szCs w:val="20"/>
              </w:rPr>
              <w:t xml:space="preserve">　/　平成30年11月19日告示</w:t>
            </w:r>
          </w:p>
        </w:tc>
        <w:tc>
          <w:tcPr>
            <w:tcW w:w="0" w:type="auto"/>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b/>
                <w:bCs/>
                <w:color w:val="333333"/>
                <w:sz w:val="20"/>
                <w:szCs w:val="20"/>
              </w:rPr>
              <w:t xml:space="preserve">　/　平成30年11月20日施行</w:t>
            </w:r>
          </w:p>
        </w:tc>
      </w:tr>
    </w:tbl>
    <w:p w:rsidR="00A14B2A" w:rsidRPr="00A14B2A" w:rsidRDefault="00A14B2A" w:rsidP="00A14B2A">
      <w:pPr>
        <w:spacing w:before="100" w:beforeAutospacing="1" w:after="100" w:afterAutospacing="1" w:line="240" w:lineRule="auto"/>
        <w:ind w:left="1890"/>
        <w:outlineLvl w:val="2"/>
        <w:rPr>
          <w:rFonts w:ascii="ＭＳ Ｐゴシック" w:eastAsia="ＭＳ Ｐゴシック" w:hAnsi="ＭＳ Ｐゴシック" w:cs="ＭＳ Ｐゴシック"/>
          <w:b/>
          <w:bCs/>
          <w:sz w:val="24"/>
        </w:rPr>
      </w:pPr>
      <w:r w:rsidRPr="00A14B2A">
        <w:rPr>
          <w:rFonts w:ascii="ＭＳ Ｐゴシック" w:eastAsia="ＭＳ Ｐゴシック" w:hAnsi="ＭＳ Ｐゴシック" w:cs="ＭＳ Ｐゴシック"/>
          <w:b/>
          <w:bCs/>
          <w:sz w:val="24"/>
        </w:rPr>
        <w:t>内用薬</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0F8FF"/>
        <w:tblLayout w:type="fixed"/>
        <w:tblCellMar>
          <w:top w:w="15" w:type="dxa"/>
          <w:left w:w="15" w:type="dxa"/>
          <w:bottom w:w="15" w:type="dxa"/>
          <w:right w:w="15" w:type="dxa"/>
        </w:tblCellMar>
        <w:tblLook w:val="04A0" w:firstRow="1" w:lastRow="0" w:firstColumn="1" w:lastColumn="0" w:noHBand="0" w:noVBand="1"/>
      </w:tblPr>
      <w:tblGrid>
        <w:gridCol w:w="2194"/>
        <w:gridCol w:w="633"/>
        <w:gridCol w:w="1093"/>
        <w:gridCol w:w="483"/>
        <w:gridCol w:w="6048"/>
        <w:gridCol w:w="252"/>
        <w:gridCol w:w="1069"/>
        <w:gridCol w:w="1364"/>
      </w:tblGrid>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品名</w:t>
            </w:r>
          </w:p>
        </w:tc>
        <w:tc>
          <w:tcPr>
            <w:tcW w:w="241"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規格・単位</w:t>
            </w:r>
          </w:p>
        </w:tc>
        <w:tc>
          <w:tcPr>
            <w:tcW w:w="416"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薬価</w:t>
            </w:r>
          </w:p>
        </w:tc>
        <w:tc>
          <w:tcPr>
            <w:tcW w:w="184"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薬効分類</w:t>
            </w:r>
          </w:p>
        </w:tc>
        <w:tc>
          <w:tcPr>
            <w:tcW w:w="2302"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Pr>
                <w:rFonts w:ascii="ＭＳ Ｐゴシック" w:eastAsia="ＭＳ Ｐゴシック" w:hAnsi="ＭＳ Ｐゴシック" w:cs="ＭＳ Ｐゴシック" w:hint="eastAsia"/>
                <w:color w:val="FFFFFF"/>
                <w:sz w:val="20"/>
                <w:szCs w:val="20"/>
              </w:rPr>
              <w:t>効能効果</w:t>
            </w:r>
          </w:p>
        </w:tc>
        <w:tc>
          <w:tcPr>
            <w:tcW w:w="96"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麻毒</w:t>
            </w:r>
          </w:p>
        </w:tc>
        <w:tc>
          <w:tcPr>
            <w:tcW w:w="407"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収載方式</w:t>
            </w:r>
          </w:p>
        </w:tc>
        <w:tc>
          <w:tcPr>
            <w:tcW w:w="1366" w:type="dxa"/>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請求コード</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モビコール配合内用剤　６．８５２３ｇ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包</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83.90円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235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メイリオ" w:eastAsia="メイリオ" w:hAnsi="メイリオ" w:cs="ＭＳ Ｐゴシック"/>
                <w:color w:val="333333"/>
                <w:sz w:val="16"/>
                <w:szCs w:val="16"/>
              </w:rPr>
            </w:pPr>
            <w:r w:rsidRPr="00A14B2A">
              <w:rPr>
                <w:rFonts w:ascii="メイリオ" w:eastAsia="メイリオ" w:hAnsi="メイリオ" w:cs="ＭＳ Ｐゴシック" w:hint="eastAsia"/>
                <w:color w:val="333333"/>
                <w:sz w:val="16"/>
                <w:szCs w:val="16"/>
              </w:rPr>
              <w:t>本製剤の成人への使用に当たっては、他の便秘症治療薬（ルビプロストン製剤、</w:t>
            </w:r>
          </w:p>
          <w:p w:rsidR="00A14B2A" w:rsidRPr="00A14B2A" w:rsidRDefault="00A14B2A" w:rsidP="00A14B2A">
            <w:pPr>
              <w:spacing w:after="0" w:line="270" w:lineRule="atLeast"/>
              <w:rPr>
                <w:rFonts w:ascii="メイリオ" w:eastAsia="メイリオ" w:hAnsi="メイリオ" w:cs="ＭＳ Ｐゴシック"/>
                <w:color w:val="333333"/>
                <w:sz w:val="16"/>
                <w:szCs w:val="16"/>
              </w:rPr>
            </w:pPr>
            <w:r w:rsidRPr="00A14B2A">
              <w:rPr>
                <w:rFonts w:ascii="メイリオ" w:eastAsia="メイリオ" w:hAnsi="メイリオ" w:cs="ＭＳ Ｐゴシック" w:hint="eastAsia"/>
                <w:color w:val="333333"/>
                <w:sz w:val="16"/>
                <w:szCs w:val="16"/>
              </w:rPr>
              <w:t>エロビキシバット水和物製剤及びリナクロチド製剤を除く。）で効果不十分な場合に、器質的疾患による便秘を除く慢性便秘症の患者へ使用すること。</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622625001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ベオーバ錠５０ｍｇ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185.70円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259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0C6465" w:rsidRPr="000C6465" w:rsidRDefault="000C6465" w:rsidP="000C6465">
            <w:pPr>
              <w:spacing w:after="0" w:line="240" w:lineRule="auto"/>
              <w:rPr>
                <w:rFonts w:ascii="メイリオ" w:eastAsia="メイリオ" w:hAnsi="メイリオ" w:cs="ＭＳ Ｐゴシック" w:hint="eastAsia"/>
                <w:color w:val="333333"/>
                <w:sz w:val="16"/>
                <w:szCs w:val="16"/>
              </w:rPr>
            </w:pPr>
            <w:r w:rsidRPr="000C6465">
              <w:rPr>
                <w:rFonts w:ascii="メイリオ" w:eastAsia="メイリオ" w:hAnsi="メイリオ" w:cs="ＭＳ Ｐゴシック" w:hint="eastAsia"/>
                <w:color w:val="333333"/>
                <w:sz w:val="16"/>
                <w:szCs w:val="16"/>
              </w:rPr>
              <w:t>過活動膀胱における尿意切迫感、頻尿及び切迫性尿失禁</w:t>
            </w:r>
          </w:p>
          <w:p w:rsidR="00A14B2A" w:rsidRPr="000C6465" w:rsidRDefault="000C6465" w:rsidP="00A14B2A">
            <w:pPr>
              <w:spacing w:after="0" w:line="240" w:lineRule="auto"/>
              <w:rPr>
                <w:rFonts w:ascii="メイリオ" w:eastAsia="メイリオ" w:hAnsi="メイリオ" w:cs="ＭＳ Ｐゴシック" w:hint="eastAsia"/>
                <w:color w:val="333333"/>
                <w:sz w:val="16"/>
                <w:szCs w:val="16"/>
              </w:rPr>
            </w:pPr>
            <w:bookmarkStart w:id="0" w:name="_GoBack"/>
            <w:bookmarkEnd w:id="0"/>
            <w:r w:rsidRPr="000C6465">
              <w:rPr>
                <w:rFonts w:ascii="メイリオ" w:eastAsia="メイリオ" w:hAnsi="メイリオ" w:cs="ＭＳ Ｐゴシック" w:hint="eastAsia"/>
                <w:color w:val="333333"/>
                <w:sz w:val="16"/>
                <w:szCs w:val="16"/>
              </w:rPr>
              <w:t>用法・用量：通常、成人にはビベグロン50mgを1日1回食後に経口投与する</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622653001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ローブレナ錠２５ｍｇ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7,216.40円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429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rPr>
                <w:rFonts w:ascii="メイリオ" w:eastAsia="メイリオ" w:hAnsi="メイリオ"/>
                <w:sz w:val="16"/>
                <w:szCs w:val="16"/>
              </w:rPr>
            </w:pPr>
            <w:r w:rsidRPr="00A14B2A">
              <w:rPr>
                <w:rFonts w:ascii="メイリオ" w:eastAsia="メイリオ" w:hAnsi="メイリオ" w:hint="eastAsia"/>
                <w:sz w:val="16"/>
                <w:szCs w:val="16"/>
              </w:rPr>
              <w:t>本製剤の効能・効果は「ALK チロシンキナーゼ阻害剤に抵抗性又は不耐容のALK 融合遺伝子陽性の切除不能な進行・再発の非小細胞肺癌」であることから、他のALK チロシンキナーゼ阻害剤に抵抗性又は不耐容の場合にのみ投与すること。</w:t>
            </w:r>
          </w:p>
          <w:p w:rsidR="00A14B2A" w:rsidRPr="00A14B2A" w:rsidRDefault="00A14B2A" w:rsidP="00A14B2A">
            <w:pPr>
              <w:spacing w:after="0"/>
              <w:rPr>
                <w:rFonts w:ascii="メイリオ" w:eastAsia="メイリオ" w:hAnsi="メイリオ"/>
                <w:b/>
                <w:sz w:val="16"/>
                <w:szCs w:val="16"/>
                <w:u w:val="single"/>
              </w:rPr>
            </w:pPr>
            <w:r w:rsidRPr="00A14B2A">
              <w:rPr>
                <w:rFonts w:ascii="メイリオ" w:eastAsia="メイリオ" w:hAnsi="メイリオ" w:hint="eastAsia"/>
                <w:sz w:val="16"/>
                <w:szCs w:val="16"/>
              </w:rPr>
              <w:t>また、</w:t>
            </w:r>
            <w:r w:rsidRPr="00A14B2A">
              <w:rPr>
                <w:rFonts w:ascii="メイリオ" w:eastAsia="メイリオ" w:hAnsi="メイリオ" w:hint="eastAsia"/>
                <w:b/>
                <w:sz w:val="16"/>
                <w:szCs w:val="16"/>
                <w:u w:val="single"/>
              </w:rPr>
              <w:t>本製剤の投与開始に当たっては、使用していたALK チロシンキナーゼ阻害</w:t>
            </w:r>
          </w:p>
          <w:p w:rsidR="00A14B2A" w:rsidRPr="00A14B2A" w:rsidRDefault="00A14B2A" w:rsidP="00A14B2A">
            <w:pPr>
              <w:spacing w:after="0"/>
            </w:pPr>
            <w:r w:rsidRPr="00A14B2A">
              <w:rPr>
                <w:rFonts w:ascii="メイリオ" w:eastAsia="メイリオ" w:hAnsi="メイリオ" w:hint="eastAsia"/>
                <w:b/>
                <w:sz w:val="16"/>
                <w:szCs w:val="16"/>
                <w:u w:val="single"/>
              </w:rPr>
              <w:t>剤の品名を診療報酬明細書の摘要欄に記載すること。</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622653201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ローブレナ錠１００ｍｇ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25,961.00円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429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Pr>
                <w:rFonts w:ascii="ＭＳ Ｐゴシック" w:eastAsia="ＭＳ Ｐゴシック" w:hAnsi="ＭＳ Ｐゴシック" w:cs="ＭＳ Ｐゴシック" w:hint="eastAsia"/>
                <w:color w:val="333333"/>
                <w:sz w:val="20"/>
                <w:szCs w:val="20"/>
              </w:rPr>
              <w:t>同上</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622653301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ベージニオ錠５０ｍｇ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3,258.70円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429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メイリオ" w:eastAsia="メイリオ" w:hAnsi="メイリオ" w:cs="ＭＳ Ｐゴシック"/>
                <w:color w:val="333333"/>
                <w:sz w:val="16"/>
                <w:szCs w:val="16"/>
              </w:rPr>
            </w:pPr>
            <w:r w:rsidRPr="00A14B2A">
              <w:rPr>
                <w:rFonts w:ascii="メイリオ" w:eastAsia="メイリオ" w:hAnsi="メイリオ" w:cs="ＭＳ Ｐゴシック" w:hint="eastAsia"/>
                <w:color w:val="333333"/>
                <w:sz w:val="16"/>
                <w:szCs w:val="16"/>
              </w:rPr>
              <w:t>本製剤の効能・効果は「ホルモン受容体陽性かつHER2 陰性の手術不能又は再発乳</w:t>
            </w:r>
          </w:p>
          <w:p w:rsidR="00A14B2A" w:rsidRPr="00A14B2A" w:rsidRDefault="00A14B2A" w:rsidP="00A14B2A">
            <w:pPr>
              <w:spacing w:after="0" w:line="270" w:lineRule="atLeast"/>
              <w:rPr>
                <w:rFonts w:ascii="メイリオ" w:eastAsia="メイリオ" w:hAnsi="メイリオ" w:cs="ＭＳ Ｐゴシック"/>
                <w:b/>
                <w:color w:val="333333"/>
                <w:sz w:val="16"/>
                <w:szCs w:val="16"/>
                <w:u w:val="single"/>
              </w:rPr>
            </w:pPr>
            <w:r w:rsidRPr="00A14B2A">
              <w:rPr>
                <w:rFonts w:ascii="メイリオ" w:eastAsia="メイリオ" w:hAnsi="メイリオ" w:cs="ＭＳ Ｐゴシック" w:hint="eastAsia"/>
                <w:color w:val="333333"/>
                <w:sz w:val="16"/>
                <w:szCs w:val="16"/>
              </w:rPr>
              <w:t>癌」であることから、</w:t>
            </w:r>
            <w:r w:rsidRPr="00A14B2A">
              <w:rPr>
                <w:rFonts w:ascii="メイリオ" w:eastAsia="メイリオ" w:hAnsi="メイリオ" w:cs="ＭＳ Ｐゴシック" w:hint="eastAsia"/>
                <w:b/>
                <w:color w:val="333333"/>
                <w:sz w:val="16"/>
                <w:szCs w:val="16"/>
                <w:u w:val="single"/>
              </w:rPr>
              <w:t>ホルモン受容体陽性、HER2 陰性であることを確認した検査の実施年月日を診療報酬明細書の摘要欄に記載すること。</w:t>
            </w:r>
          </w:p>
          <w:p w:rsidR="00A14B2A" w:rsidRPr="00A14B2A" w:rsidRDefault="00A14B2A" w:rsidP="00A14B2A">
            <w:pPr>
              <w:spacing w:after="0" w:line="270" w:lineRule="atLeast"/>
              <w:rPr>
                <w:rFonts w:ascii="メイリオ" w:eastAsia="メイリオ" w:hAnsi="メイリオ" w:cs="ＭＳ Ｐゴシック"/>
                <w:b/>
                <w:color w:val="333333"/>
                <w:sz w:val="16"/>
                <w:szCs w:val="16"/>
                <w:u w:val="single"/>
              </w:rPr>
            </w:pPr>
            <w:r w:rsidRPr="00A14B2A">
              <w:rPr>
                <w:rFonts w:ascii="メイリオ" w:eastAsia="メイリオ" w:hAnsi="メイリオ" w:cs="ＭＳ Ｐゴシック" w:hint="eastAsia"/>
                <w:b/>
                <w:color w:val="333333"/>
                <w:sz w:val="16"/>
                <w:szCs w:val="16"/>
                <w:u w:val="single"/>
              </w:rPr>
              <w:lastRenderedPageBreak/>
              <w:t>なお、当該検査を実施した月のみ実施年月日を記載すること。ただし、本剤の初</w:t>
            </w:r>
          </w:p>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メイリオ" w:eastAsia="メイリオ" w:hAnsi="メイリオ" w:cs="ＭＳ Ｐゴシック" w:hint="eastAsia"/>
                <w:b/>
                <w:color w:val="333333"/>
                <w:sz w:val="16"/>
                <w:szCs w:val="16"/>
                <w:u w:val="single"/>
              </w:rPr>
              <w:t>回投与に当たっては、必ず実施年月日を記載すること。</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622653801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ベージニオ錠１００ｍｇ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5,949.20円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429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Pr>
                <w:rFonts w:ascii="ＭＳ Ｐゴシック" w:eastAsia="ＭＳ Ｐゴシック" w:hAnsi="ＭＳ Ｐゴシック" w:cs="ＭＳ Ｐゴシック" w:hint="eastAsia"/>
                <w:color w:val="333333"/>
                <w:sz w:val="20"/>
                <w:szCs w:val="20"/>
              </w:rPr>
              <w:t>同上</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622653901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ベージニオ錠１５０ｍｇ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8,460.10円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429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Pr>
                <w:rFonts w:ascii="ＭＳ Ｐゴシック" w:eastAsia="ＭＳ Ｐゴシック" w:hAnsi="ＭＳ Ｐゴシック" w:cs="ＭＳ Ｐゴシック" w:hint="eastAsia"/>
                <w:color w:val="333333"/>
                <w:sz w:val="20"/>
                <w:szCs w:val="20"/>
              </w:rPr>
              <w:t>同上</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622654001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メトアナ配合錠ＨＤ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396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54649E" w:rsidRDefault="00A14B2A" w:rsidP="00A14B2A">
            <w:pPr>
              <w:spacing w:after="0" w:line="270" w:lineRule="atLeast"/>
              <w:rPr>
                <w:rFonts w:ascii="メイリオ" w:eastAsia="メイリオ" w:hAnsi="メイリオ" w:cs="ＭＳ Ｐゴシック"/>
                <w:b/>
                <w:i/>
                <w:color w:val="333333"/>
                <w:sz w:val="16"/>
                <w:szCs w:val="16"/>
              </w:rPr>
            </w:pPr>
            <w:r w:rsidRPr="0054649E">
              <w:rPr>
                <w:rFonts w:ascii="メイリオ" w:eastAsia="メイリオ" w:hAnsi="メイリオ" w:cs="ＭＳ Ｐゴシック" w:hint="eastAsia"/>
                <w:b/>
                <w:i/>
                <w:color w:val="333333"/>
                <w:sz w:val="16"/>
                <w:szCs w:val="16"/>
              </w:rPr>
              <w:t>① 効能・効果</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color w:val="333333"/>
                <w:sz w:val="16"/>
                <w:szCs w:val="16"/>
              </w:rPr>
              <w:t>２型糖尿病（ただし、アナグリプチン及びメトホルミン塩酸塩の併用による治</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color w:val="333333"/>
                <w:sz w:val="16"/>
                <w:szCs w:val="16"/>
              </w:rPr>
              <w:t>療が適切と判断される場合に限る）であること。</w:t>
            </w:r>
          </w:p>
          <w:p w:rsidR="00A14B2A" w:rsidRPr="0054649E" w:rsidRDefault="00A14B2A" w:rsidP="00A14B2A">
            <w:pPr>
              <w:spacing w:after="0" w:line="270" w:lineRule="atLeast"/>
              <w:rPr>
                <w:rFonts w:ascii="メイリオ" w:eastAsia="メイリオ" w:hAnsi="メイリオ" w:cs="ＭＳ Ｐゴシック"/>
                <w:b/>
                <w:color w:val="333333"/>
                <w:sz w:val="16"/>
                <w:szCs w:val="16"/>
              </w:rPr>
            </w:pPr>
            <w:r w:rsidRPr="0054649E">
              <w:rPr>
                <w:rFonts w:ascii="メイリオ" w:eastAsia="メイリオ" w:hAnsi="メイリオ" w:cs="ＭＳ Ｐゴシック" w:hint="eastAsia"/>
                <w:b/>
                <w:color w:val="333333"/>
                <w:sz w:val="16"/>
                <w:szCs w:val="16"/>
              </w:rPr>
              <w:t>② 保険適用上の取扱い</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b/>
                <w:color w:val="333333"/>
                <w:sz w:val="16"/>
                <w:szCs w:val="16"/>
              </w:rPr>
              <w:t>ア</w:t>
            </w:r>
            <w:r w:rsidRPr="00696E4E">
              <w:rPr>
                <w:rFonts w:ascii="メイリオ" w:eastAsia="メイリオ" w:hAnsi="メイリオ" w:cs="ＭＳ Ｐゴシック" w:hint="eastAsia"/>
                <w:color w:val="333333"/>
                <w:sz w:val="16"/>
                <w:szCs w:val="16"/>
              </w:rPr>
              <w:t xml:space="preserve"> 糖尿病の診断が確立した患者に対してのみ適用を考慮すること。糖尿病以外</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color w:val="333333"/>
                <w:sz w:val="16"/>
                <w:szCs w:val="16"/>
              </w:rPr>
              <w:t>にも耐糖能異常・尿糖陽性等、糖尿病類似の症状（腎性糖尿、甲状腺機能異常</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color w:val="333333"/>
                <w:sz w:val="16"/>
                <w:szCs w:val="16"/>
              </w:rPr>
              <w:t>等）を有する疾患があることに留意すること。</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b/>
                <w:color w:val="333333"/>
                <w:sz w:val="16"/>
                <w:szCs w:val="16"/>
              </w:rPr>
              <w:t>イ</w:t>
            </w:r>
            <w:r w:rsidRPr="00696E4E">
              <w:rPr>
                <w:rFonts w:ascii="メイリオ" w:eastAsia="メイリオ" w:hAnsi="メイリオ" w:cs="ＭＳ Ｐゴシック" w:hint="eastAsia"/>
                <w:color w:val="333333"/>
                <w:sz w:val="16"/>
                <w:szCs w:val="16"/>
              </w:rPr>
              <w:t xml:space="preserve"> 本製剤を２型糖尿病治療の第一選択薬として用いないこと。</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b/>
                <w:color w:val="333333"/>
                <w:sz w:val="16"/>
                <w:szCs w:val="16"/>
              </w:rPr>
              <w:t>ウ</w:t>
            </w:r>
            <w:r w:rsidRPr="00696E4E">
              <w:rPr>
                <w:rFonts w:ascii="メイリオ" w:eastAsia="メイリオ" w:hAnsi="メイリオ" w:cs="ＭＳ Ｐゴシック" w:hint="eastAsia"/>
                <w:color w:val="333333"/>
                <w:sz w:val="16"/>
                <w:szCs w:val="16"/>
              </w:rPr>
              <w:t xml:space="preserve"> 本製剤のうち配合錠LD（アナグリプチン/メトホルミン塩酸塩として</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color w:val="333333"/>
                <w:sz w:val="16"/>
                <w:szCs w:val="16"/>
              </w:rPr>
              <w:t>100mg/250mg）については、原則として、既にアナグリプチン100mg 1 日2 回及びメトホルミン塩酸塩250mg 1 日2 回を併用し状態が安定している場合、アナグリプチン100mg 1 日2 回の単剤治療により効果不十分な場合、あるいはメトホルミン塩酸塩250mg 1 日2 回の単剤治療により効果不十分な場合に使用を検討すること。</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b/>
                <w:color w:val="333333"/>
                <w:sz w:val="16"/>
                <w:szCs w:val="16"/>
              </w:rPr>
              <w:t>エ</w:t>
            </w:r>
            <w:r w:rsidRPr="00696E4E">
              <w:rPr>
                <w:rFonts w:ascii="メイリオ" w:eastAsia="メイリオ" w:hAnsi="メイリオ" w:cs="ＭＳ Ｐゴシック" w:hint="eastAsia"/>
                <w:color w:val="333333"/>
                <w:sz w:val="16"/>
                <w:szCs w:val="16"/>
              </w:rPr>
              <w:t xml:space="preserve"> 本製剤のうち配合錠HD（アナグリプチン/メトホルミン塩酸塩として</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color w:val="333333"/>
                <w:sz w:val="16"/>
                <w:szCs w:val="16"/>
              </w:rPr>
              <w:t>100mg/500mg）については、原則として、既にアナグリプチン100mg 1 日2 回及びメトホルミン塩酸塩500mg 1 日2 回を併用し状態が安定している場合、アナグリプチン100mg 1 日2 回及びメトホルミン塩酸塩250mg 1 日2 回の治</w:t>
            </w:r>
            <w:r w:rsidRPr="00696E4E">
              <w:rPr>
                <w:rFonts w:ascii="メイリオ" w:eastAsia="メイリオ" w:hAnsi="メイリオ" w:cs="ＭＳ Ｐゴシック" w:hint="eastAsia"/>
                <w:color w:val="333333"/>
                <w:sz w:val="16"/>
                <w:szCs w:val="16"/>
              </w:rPr>
              <w:lastRenderedPageBreak/>
              <w:t>療により効果不十分な場合、あるいはメトホルミン塩酸塩500mg 1 日2 回の単剤治療により効果不十分な場合に使用を検討すること。</w:t>
            </w:r>
          </w:p>
          <w:p w:rsidR="00A14B2A" w:rsidRPr="00696E4E" w:rsidRDefault="00A14B2A" w:rsidP="00A14B2A">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b/>
                <w:color w:val="333333"/>
                <w:sz w:val="16"/>
                <w:szCs w:val="16"/>
              </w:rPr>
              <w:t xml:space="preserve">オ </w:t>
            </w:r>
            <w:r w:rsidRPr="00696E4E">
              <w:rPr>
                <w:rFonts w:ascii="メイリオ" w:eastAsia="メイリオ" w:hAnsi="メイリオ" w:cs="ＭＳ Ｐゴシック" w:hint="eastAsia"/>
                <w:color w:val="333333"/>
                <w:sz w:val="16"/>
                <w:szCs w:val="16"/>
              </w:rPr>
              <w:t>本製剤投与中において、本製剤の投与がアナグリプチン及びメトホルミン塩</w:t>
            </w:r>
          </w:p>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696E4E">
              <w:rPr>
                <w:rFonts w:ascii="メイリオ" w:eastAsia="メイリオ" w:hAnsi="メイリオ" w:cs="ＭＳ Ｐゴシック" w:hint="eastAsia"/>
                <w:color w:val="333333"/>
                <w:sz w:val="16"/>
                <w:szCs w:val="16"/>
              </w:rPr>
              <w:t>酸塩の各単剤の併用よりも適切であるか慎重に判断すること。</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622654401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メトアナ配合錠ＬＤ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396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696E4E" w:rsidP="00A14B2A">
            <w:pPr>
              <w:spacing w:after="0" w:line="270" w:lineRule="atLeast"/>
              <w:jc w:val="center"/>
              <w:rPr>
                <w:rFonts w:ascii="ＭＳ Ｐゴシック" w:eastAsia="ＭＳ Ｐゴシック" w:hAnsi="ＭＳ Ｐゴシック" w:cs="ＭＳ Ｐゴシック"/>
                <w:color w:val="333333"/>
                <w:sz w:val="20"/>
                <w:szCs w:val="20"/>
              </w:rPr>
            </w:pPr>
            <w:r>
              <w:rPr>
                <w:rFonts w:ascii="ＭＳ Ｐゴシック" w:eastAsia="ＭＳ Ｐゴシック" w:hAnsi="ＭＳ Ｐゴシック" w:cs="ＭＳ Ｐゴシック" w:hint="eastAsia"/>
                <w:color w:val="333333"/>
                <w:sz w:val="20"/>
                <w:szCs w:val="20"/>
              </w:rPr>
              <w:t>同上</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622654501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ゾスパタ錠４０ｍｇ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19,409.10円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429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696E4E" w:rsidRPr="00696E4E" w:rsidRDefault="00696E4E" w:rsidP="00696E4E">
            <w:pPr>
              <w:spacing w:after="0" w:line="270" w:lineRule="atLeast"/>
              <w:rPr>
                <w:rFonts w:ascii="メイリオ" w:eastAsia="メイリオ" w:hAnsi="メイリオ" w:cs="ＭＳ Ｐゴシック"/>
                <w:color w:val="333333"/>
                <w:sz w:val="16"/>
                <w:szCs w:val="16"/>
              </w:rPr>
            </w:pPr>
            <w:r w:rsidRPr="00696E4E">
              <w:rPr>
                <w:rFonts w:ascii="メイリオ" w:eastAsia="メイリオ" w:hAnsi="メイリオ" w:cs="ＭＳ Ｐゴシック" w:hint="eastAsia"/>
                <w:color w:val="333333"/>
                <w:sz w:val="16"/>
                <w:szCs w:val="16"/>
              </w:rPr>
              <w:t>本製剤の効能・効果に関連する使用上の注意において、「十分な経験を有する病理</w:t>
            </w:r>
          </w:p>
          <w:p w:rsidR="00696E4E" w:rsidRPr="00696E4E" w:rsidRDefault="00696E4E" w:rsidP="00696E4E">
            <w:pPr>
              <w:spacing w:after="0" w:line="270" w:lineRule="atLeast"/>
              <w:rPr>
                <w:rFonts w:ascii="メイリオ" w:eastAsia="メイリオ" w:hAnsi="メイリオ" w:cs="ＭＳ Ｐゴシック"/>
                <w:b/>
                <w:color w:val="333333"/>
                <w:sz w:val="16"/>
                <w:szCs w:val="16"/>
                <w:u w:val="single"/>
              </w:rPr>
            </w:pPr>
            <w:r w:rsidRPr="00696E4E">
              <w:rPr>
                <w:rFonts w:ascii="メイリオ" w:eastAsia="メイリオ" w:hAnsi="メイリオ" w:cs="ＭＳ Ｐゴシック" w:hint="eastAsia"/>
                <w:color w:val="333333"/>
                <w:sz w:val="16"/>
                <w:szCs w:val="16"/>
              </w:rPr>
              <w:t>医又は検査施設における検査により、FLT3 遺伝子変異陽性が確認された患者に投与すること。」とされているので、</w:t>
            </w:r>
            <w:r w:rsidRPr="00696E4E">
              <w:rPr>
                <w:rFonts w:ascii="メイリオ" w:eastAsia="メイリオ" w:hAnsi="メイリオ" w:cs="ＭＳ Ｐゴシック" w:hint="eastAsia"/>
                <w:b/>
                <w:color w:val="333333"/>
                <w:sz w:val="16"/>
                <w:szCs w:val="16"/>
                <w:u w:val="single"/>
              </w:rPr>
              <w:t>FLT3 遺伝子変異陽性を確認した検査の実施年月日を診療報酬明細書に記載すること。</w:t>
            </w:r>
          </w:p>
          <w:p w:rsidR="00696E4E" w:rsidRPr="00696E4E" w:rsidRDefault="00696E4E" w:rsidP="00696E4E">
            <w:pPr>
              <w:spacing w:after="0" w:line="270" w:lineRule="atLeast"/>
              <w:rPr>
                <w:rFonts w:ascii="メイリオ" w:eastAsia="メイリオ" w:hAnsi="メイリオ" w:cs="ＭＳ Ｐゴシック"/>
                <w:b/>
                <w:color w:val="333333"/>
                <w:sz w:val="16"/>
                <w:szCs w:val="16"/>
                <w:u w:val="single"/>
              </w:rPr>
            </w:pPr>
            <w:r w:rsidRPr="00696E4E">
              <w:rPr>
                <w:rFonts w:ascii="メイリオ" w:eastAsia="メイリオ" w:hAnsi="メイリオ" w:cs="ＭＳ Ｐゴシック" w:hint="eastAsia"/>
                <w:b/>
                <w:color w:val="333333"/>
                <w:sz w:val="16"/>
                <w:szCs w:val="16"/>
                <w:u w:val="single"/>
              </w:rPr>
              <w:t>なお、当該検査を実施した月のみ実施年月日を記載すること。ただし、本剤の初</w:t>
            </w:r>
          </w:p>
          <w:p w:rsidR="00A14B2A" w:rsidRPr="00A14B2A" w:rsidRDefault="00696E4E" w:rsidP="00696E4E">
            <w:pPr>
              <w:spacing w:after="0" w:line="270" w:lineRule="atLeast"/>
              <w:rPr>
                <w:rFonts w:ascii="ＭＳ Ｐゴシック" w:eastAsia="ＭＳ Ｐゴシック" w:hAnsi="ＭＳ Ｐゴシック" w:cs="ＭＳ Ｐゴシック"/>
                <w:color w:val="333333"/>
                <w:sz w:val="20"/>
                <w:szCs w:val="20"/>
              </w:rPr>
            </w:pPr>
            <w:r w:rsidRPr="00696E4E">
              <w:rPr>
                <w:rFonts w:ascii="メイリオ" w:eastAsia="メイリオ" w:hAnsi="メイリオ" w:cs="ＭＳ Ｐゴシック" w:hint="eastAsia"/>
                <w:b/>
                <w:color w:val="333333"/>
                <w:sz w:val="16"/>
                <w:szCs w:val="16"/>
                <w:u w:val="single"/>
              </w:rPr>
              <w:t>回投与に当たっては、必ず実施年月日を記載すること。</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622654801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トラディアンス配合錠ＡＰ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283.30円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396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B26AF6" w:rsidRPr="0054649E" w:rsidRDefault="00B26AF6" w:rsidP="00B26AF6">
            <w:pPr>
              <w:spacing w:after="0" w:line="270" w:lineRule="atLeast"/>
              <w:rPr>
                <w:rFonts w:ascii="メイリオ" w:eastAsia="メイリオ" w:hAnsi="メイリオ" w:cs="ＭＳ Ｐゴシック"/>
                <w:b/>
                <w:color w:val="333333"/>
                <w:sz w:val="16"/>
                <w:szCs w:val="16"/>
              </w:rPr>
            </w:pPr>
            <w:r w:rsidRPr="0054649E">
              <w:rPr>
                <w:rFonts w:ascii="メイリオ" w:eastAsia="メイリオ" w:hAnsi="メイリオ" w:cs="ＭＳ Ｐゴシック" w:hint="eastAsia"/>
                <w:b/>
                <w:color w:val="333333"/>
                <w:sz w:val="16"/>
                <w:szCs w:val="16"/>
              </w:rPr>
              <w:t>① 効能・効果</w:t>
            </w:r>
          </w:p>
          <w:p w:rsidR="00B26AF6" w:rsidRPr="0054649E"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color w:val="333333"/>
                <w:sz w:val="16"/>
                <w:szCs w:val="16"/>
              </w:rPr>
              <w:t>２型糖尿病（ただし、エンパグリフロジン及びリナグリプチンの併用による治療が適切と判断される場合に限る。）であること。</w:t>
            </w:r>
          </w:p>
          <w:p w:rsidR="00B26AF6" w:rsidRPr="0054649E" w:rsidRDefault="00B26AF6" w:rsidP="00B26AF6">
            <w:pPr>
              <w:spacing w:after="0" w:line="270" w:lineRule="atLeast"/>
              <w:rPr>
                <w:rFonts w:ascii="メイリオ" w:eastAsia="メイリオ" w:hAnsi="メイリオ" w:cs="ＭＳ Ｐゴシック"/>
                <w:b/>
                <w:color w:val="333333"/>
                <w:sz w:val="16"/>
                <w:szCs w:val="16"/>
              </w:rPr>
            </w:pPr>
            <w:r w:rsidRPr="0054649E">
              <w:rPr>
                <w:rFonts w:ascii="メイリオ" w:eastAsia="メイリオ" w:hAnsi="メイリオ" w:cs="ＭＳ Ｐゴシック" w:hint="eastAsia"/>
                <w:b/>
                <w:color w:val="333333"/>
                <w:sz w:val="16"/>
                <w:szCs w:val="16"/>
              </w:rPr>
              <w:t>② 保険適用上の取扱い</w:t>
            </w:r>
          </w:p>
          <w:p w:rsidR="00B26AF6" w:rsidRPr="0054649E"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b/>
                <w:color w:val="333333"/>
                <w:sz w:val="16"/>
                <w:szCs w:val="16"/>
              </w:rPr>
              <w:t>ア</w:t>
            </w:r>
            <w:r w:rsidRPr="0054649E">
              <w:rPr>
                <w:rFonts w:ascii="メイリオ" w:eastAsia="メイリオ" w:hAnsi="メイリオ" w:cs="ＭＳ Ｐゴシック" w:hint="eastAsia"/>
                <w:color w:val="333333"/>
                <w:sz w:val="16"/>
                <w:szCs w:val="16"/>
              </w:rPr>
              <w:t xml:space="preserve"> 糖尿病の診断が確立した患者に対してのみ適用を考慮すること。糖尿病以外にも耐糖能異常・尿糖陽性等、糖尿病類似の症状（腎性糖尿、甲状腺機能異常等）を有する疾患があることに留意すること。</w:t>
            </w:r>
          </w:p>
          <w:p w:rsidR="00B26AF6" w:rsidRPr="0054649E"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b/>
                <w:color w:val="333333"/>
                <w:sz w:val="16"/>
                <w:szCs w:val="16"/>
              </w:rPr>
              <w:t>イ</w:t>
            </w:r>
            <w:r w:rsidRPr="0054649E">
              <w:rPr>
                <w:rFonts w:ascii="メイリオ" w:eastAsia="メイリオ" w:hAnsi="メイリオ" w:cs="ＭＳ Ｐゴシック" w:hint="eastAsia"/>
                <w:color w:val="333333"/>
                <w:sz w:val="16"/>
                <w:szCs w:val="16"/>
              </w:rPr>
              <w:t xml:space="preserve"> 本製剤を２型糖尿病治療の第一選択薬として用いないこと。</w:t>
            </w:r>
          </w:p>
          <w:p w:rsidR="00B26AF6" w:rsidRPr="0054649E"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b/>
                <w:color w:val="333333"/>
                <w:sz w:val="16"/>
                <w:szCs w:val="16"/>
              </w:rPr>
              <w:t>ウ</w:t>
            </w:r>
            <w:r w:rsidRPr="0054649E">
              <w:rPr>
                <w:rFonts w:ascii="メイリオ" w:eastAsia="メイリオ" w:hAnsi="メイリオ" w:cs="ＭＳ Ｐゴシック" w:hint="eastAsia"/>
                <w:color w:val="333333"/>
                <w:sz w:val="16"/>
                <w:szCs w:val="16"/>
              </w:rPr>
              <w:t xml:space="preserve"> 本製剤のうち配合錠AP（エンパグリフロジン/リナグリプチンとして</w:t>
            </w:r>
          </w:p>
          <w:p w:rsidR="00B26AF6" w:rsidRPr="0054649E"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color w:val="333333"/>
                <w:sz w:val="16"/>
                <w:szCs w:val="16"/>
              </w:rPr>
              <w:t>10mg/5mg）については、原則として、既にエンパグリフロジン１日10mg 及びリナグリプチン１日5mg を併用し状態が安定している場合、エンパグリフロジン</w:t>
            </w:r>
            <w:r w:rsidRPr="0054649E">
              <w:rPr>
                <w:rFonts w:ascii="メイリオ" w:eastAsia="メイリオ" w:hAnsi="メイリオ" w:cs="ＭＳ Ｐゴシック" w:hint="eastAsia"/>
                <w:color w:val="333333"/>
                <w:sz w:val="16"/>
                <w:szCs w:val="16"/>
              </w:rPr>
              <w:lastRenderedPageBreak/>
              <w:t>１日10mg の単剤治療により効果不十分な場合、あるいはリナグリプチン１日5mg の単剤治療により効果不十分な場合に使用を検討すること。</w:t>
            </w:r>
          </w:p>
          <w:p w:rsidR="00B26AF6" w:rsidRPr="0054649E"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b/>
                <w:color w:val="333333"/>
                <w:sz w:val="16"/>
                <w:szCs w:val="16"/>
              </w:rPr>
              <w:t>エ</w:t>
            </w:r>
            <w:r w:rsidRPr="0054649E">
              <w:rPr>
                <w:rFonts w:ascii="メイリオ" w:eastAsia="メイリオ" w:hAnsi="メイリオ" w:cs="ＭＳ Ｐゴシック" w:hint="eastAsia"/>
                <w:color w:val="333333"/>
                <w:sz w:val="16"/>
                <w:szCs w:val="16"/>
              </w:rPr>
              <w:t xml:space="preserve"> 本製剤のうち配合錠BP（エンパグリフロジン/リナグリプチンとして</w:t>
            </w:r>
          </w:p>
          <w:p w:rsidR="00B26AF6" w:rsidRPr="0054649E"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color w:val="333333"/>
                <w:sz w:val="16"/>
                <w:szCs w:val="16"/>
              </w:rPr>
              <w:t>25mg/5mg）については、原則として、既にエンパグリフロジン１日25mg 及びリナグリプチン１日5mg を併用し状態が安定している場合、エンパグリフロジン１日10mg 及びリナグリプチン１日5mg の治療により効果不十分な場合、あるいはエンパグリフロジン１日25mg の単剤治療により効果不十分な場合に使用を検討すること。</w:t>
            </w:r>
          </w:p>
          <w:p w:rsidR="00A14B2A" w:rsidRPr="00A14B2A" w:rsidRDefault="00B26AF6" w:rsidP="00B26AF6">
            <w:pPr>
              <w:spacing w:after="0" w:line="270" w:lineRule="atLeast"/>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b/>
                <w:color w:val="333333"/>
                <w:sz w:val="16"/>
                <w:szCs w:val="16"/>
              </w:rPr>
              <w:t>オ</w:t>
            </w:r>
            <w:r w:rsidRPr="0054649E">
              <w:rPr>
                <w:rFonts w:ascii="メイリオ" w:eastAsia="メイリオ" w:hAnsi="メイリオ" w:cs="ＭＳ Ｐゴシック" w:hint="eastAsia"/>
                <w:color w:val="333333"/>
                <w:sz w:val="16"/>
                <w:szCs w:val="16"/>
              </w:rPr>
              <w:t xml:space="preserve"> 本製剤投与中において、本製剤の投与がエンパグリフロジン及びリナグリプチンの各単剤の併用よりも適切であるか慎重に判断すること。</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622655001 </w:t>
            </w:r>
          </w:p>
        </w:tc>
      </w:tr>
      <w:tr w:rsidR="0054649E" w:rsidRPr="00A14B2A" w:rsidTr="0054649E">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トラディアンス配合錠ＢＰ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35513F">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錠</w:t>
            </w:r>
          </w:p>
        </w:tc>
        <w:tc>
          <w:tcPr>
            <w:tcW w:w="416"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395.60円 </w:t>
            </w:r>
          </w:p>
        </w:tc>
        <w:tc>
          <w:tcPr>
            <w:tcW w:w="184"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396 </w:t>
            </w:r>
          </w:p>
        </w:tc>
        <w:tc>
          <w:tcPr>
            <w:tcW w:w="2302"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54649E" w:rsidP="00A14B2A">
            <w:pPr>
              <w:spacing w:after="0" w:line="270" w:lineRule="atLeast"/>
              <w:jc w:val="center"/>
              <w:rPr>
                <w:rFonts w:ascii="メイリオ" w:eastAsia="メイリオ" w:hAnsi="メイリオ" w:cs="ＭＳ Ｐゴシック"/>
                <w:color w:val="333333"/>
                <w:sz w:val="16"/>
                <w:szCs w:val="16"/>
              </w:rPr>
            </w:pPr>
            <w:r w:rsidRPr="0054649E">
              <w:rPr>
                <w:rFonts w:ascii="メイリオ" w:eastAsia="メイリオ" w:hAnsi="メイリオ" w:cs="ＭＳ Ｐゴシック" w:hint="eastAsia"/>
                <w:color w:val="333333"/>
                <w:sz w:val="16"/>
                <w:szCs w:val="16"/>
              </w:rPr>
              <w:t>同上</w:t>
            </w:r>
          </w:p>
        </w:tc>
        <w:tc>
          <w:tcPr>
            <w:tcW w:w="96"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407"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1366" w:type="dxa"/>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622655101 </w:t>
            </w:r>
          </w:p>
        </w:tc>
      </w:tr>
    </w:tbl>
    <w:p w:rsidR="00A14B2A" w:rsidRDefault="00A14B2A" w:rsidP="00A14B2A">
      <w:pPr>
        <w:spacing w:before="100" w:beforeAutospacing="1" w:after="100" w:afterAutospacing="1" w:line="240" w:lineRule="auto"/>
        <w:ind w:left="1890"/>
        <w:outlineLvl w:val="2"/>
        <w:rPr>
          <w:rFonts w:ascii="ＭＳ Ｐゴシック" w:eastAsia="ＭＳ Ｐゴシック" w:hAnsi="ＭＳ Ｐゴシック" w:cs="ＭＳ Ｐゴシック"/>
          <w:b/>
          <w:bCs/>
        </w:rPr>
      </w:pPr>
    </w:p>
    <w:p w:rsidR="00A14B2A" w:rsidRDefault="00A14B2A" w:rsidP="00A14B2A">
      <w:pPr>
        <w:spacing w:before="100" w:beforeAutospacing="1" w:after="100" w:afterAutospacing="1" w:line="240" w:lineRule="auto"/>
        <w:ind w:left="1890"/>
        <w:outlineLvl w:val="2"/>
        <w:rPr>
          <w:rFonts w:ascii="ＭＳ Ｐゴシック" w:eastAsia="ＭＳ Ｐゴシック" w:hAnsi="ＭＳ Ｐゴシック" w:cs="ＭＳ Ｐゴシック"/>
          <w:b/>
          <w:bCs/>
        </w:rPr>
      </w:pPr>
    </w:p>
    <w:p w:rsidR="00A14B2A" w:rsidRPr="00A14B2A" w:rsidRDefault="00A14B2A" w:rsidP="00A14B2A">
      <w:pPr>
        <w:spacing w:before="100" w:beforeAutospacing="1" w:after="100" w:afterAutospacing="1" w:line="240" w:lineRule="auto"/>
        <w:ind w:left="1890"/>
        <w:outlineLvl w:val="2"/>
        <w:rPr>
          <w:rFonts w:ascii="ＭＳ Ｐゴシック" w:eastAsia="ＭＳ Ｐゴシック" w:hAnsi="ＭＳ Ｐゴシック" w:cs="ＭＳ Ｐゴシック"/>
          <w:b/>
          <w:bCs/>
        </w:rPr>
      </w:pPr>
      <w:r w:rsidRPr="00A14B2A">
        <w:rPr>
          <w:rFonts w:ascii="ＭＳ Ｐゴシック" w:eastAsia="ＭＳ Ｐゴシック" w:hAnsi="ＭＳ Ｐゴシック" w:cs="ＭＳ Ｐゴシック"/>
          <w:b/>
          <w:bCs/>
        </w:rPr>
        <w:t>注射薬</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0F8FF"/>
        <w:tblLayout w:type="fixed"/>
        <w:tblCellMar>
          <w:top w:w="15" w:type="dxa"/>
          <w:left w:w="15" w:type="dxa"/>
          <w:bottom w:w="15" w:type="dxa"/>
          <w:right w:w="15" w:type="dxa"/>
        </w:tblCellMar>
        <w:tblLook w:val="04A0" w:firstRow="1" w:lastRow="0" w:firstColumn="1" w:lastColumn="0" w:noHBand="0" w:noVBand="1"/>
      </w:tblPr>
      <w:tblGrid>
        <w:gridCol w:w="2193"/>
        <w:gridCol w:w="631"/>
        <w:gridCol w:w="1054"/>
        <w:gridCol w:w="525"/>
        <w:gridCol w:w="6090"/>
        <w:gridCol w:w="210"/>
        <w:gridCol w:w="1048"/>
        <w:gridCol w:w="1385"/>
      </w:tblGrid>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品名</w:t>
            </w:r>
          </w:p>
        </w:tc>
        <w:tc>
          <w:tcPr>
            <w:tcW w:w="240"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規格・単位</w:t>
            </w:r>
          </w:p>
        </w:tc>
        <w:tc>
          <w:tcPr>
            <w:tcW w:w="401"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薬価</w:t>
            </w:r>
          </w:p>
        </w:tc>
        <w:tc>
          <w:tcPr>
            <w:tcW w:w="200"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薬効分類</w:t>
            </w:r>
          </w:p>
        </w:tc>
        <w:tc>
          <w:tcPr>
            <w:tcW w:w="2318"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7E2F53" w:rsidP="00A14B2A">
            <w:pPr>
              <w:spacing w:after="0" w:line="270" w:lineRule="atLeast"/>
              <w:jc w:val="center"/>
              <w:rPr>
                <w:rFonts w:ascii="ＭＳ Ｐゴシック" w:eastAsia="ＭＳ Ｐゴシック" w:hAnsi="ＭＳ Ｐゴシック" w:cs="ＭＳ Ｐゴシック"/>
                <w:color w:val="FFFFFF"/>
                <w:sz w:val="20"/>
                <w:szCs w:val="20"/>
              </w:rPr>
            </w:pPr>
            <w:r>
              <w:rPr>
                <w:rFonts w:ascii="ＭＳ Ｐゴシック" w:eastAsia="ＭＳ Ｐゴシック" w:hAnsi="ＭＳ Ｐゴシック" w:cs="ＭＳ Ｐゴシック" w:hint="eastAsia"/>
                <w:color w:val="FFFFFF"/>
                <w:sz w:val="20"/>
                <w:szCs w:val="20"/>
              </w:rPr>
              <w:t>効能効果</w:t>
            </w:r>
          </w:p>
        </w:tc>
        <w:tc>
          <w:tcPr>
            <w:tcW w:w="80"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麻毒</w:t>
            </w:r>
          </w:p>
        </w:tc>
        <w:tc>
          <w:tcPr>
            <w:tcW w:w="399"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収載方式</w:t>
            </w:r>
          </w:p>
        </w:tc>
        <w:tc>
          <w:tcPr>
            <w:tcW w:w="527"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請求コード</w:t>
            </w:r>
          </w:p>
        </w:tc>
      </w:tr>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ロラピタ静注２ｍｇ　１ｍＬ </w:t>
            </w:r>
          </w:p>
        </w:tc>
        <w:tc>
          <w:tcPr>
            <w:tcW w:w="24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瓶 </w:t>
            </w:r>
          </w:p>
        </w:tc>
        <w:tc>
          <w:tcPr>
            <w:tcW w:w="401"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2,225.00円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113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0C4C96" w:rsidRPr="00134961" w:rsidRDefault="000C4C96" w:rsidP="000C4C96">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てんかん重積状態</w:t>
            </w:r>
          </w:p>
          <w:p w:rsidR="000C4C96" w:rsidRPr="00134961" w:rsidRDefault="000C4C96" w:rsidP="000C4C96">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通常、成人にはロラゼパムとして４ｍｇを静脈内投与する。投与速度は２ｍｇ/分</w:t>
            </w:r>
          </w:p>
          <w:p w:rsidR="000C4C96" w:rsidRPr="00134961" w:rsidRDefault="000C4C96" w:rsidP="000C4C96">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を目安として緩徐に投与すること。なお、必要に応じて４ｍｇを追加投与するが、</w:t>
            </w:r>
          </w:p>
          <w:p w:rsidR="000C4C96" w:rsidRPr="00134961" w:rsidRDefault="000C4C96" w:rsidP="000C4C96">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lastRenderedPageBreak/>
              <w:t>初回投与と追加投与の総量として８ｍｇを超えないこと。</w:t>
            </w:r>
          </w:p>
          <w:p w:rsidR="000C4C96" w:rsidRPr="00134961" w:rsidRDefault="000C4C96" w:rsidP="000C4C96">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通常、生後３ヵ月以上の小児にはロラゼパムとして０．０５ｍｇ／ｋｇ（最大４</w:t>
            </w:r>
          </w:p>
          <w:p w:rsidR="00A14B2A" w:rsidRPr="00A14B2A" w:rsidRDefault="000C4C96" w:rsidP="000C4C96">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ｍｇ）を静脈内投与する。投与速度は２ｍｇ／分を目安として緩徐に投与すること。なお、必要に応じて０．０５ｍｇ／ｋｇを追加投与するが、初回投与と追加投与の総量として０．１ｍｇ／ｋｇを超えないこと。</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lastRenderedPageBreak/>
              <w:t>向精</w:t>
            </w:r>
            <w:r w:rsidRPr="00A14B2A">
              <w:rPr>
                <w:rFonts w:ascii="ＭＳ Ｐゴシック" w:eastAsia="ＭＳ Ｐゴシック" w:hAnsi="ＭＳ Ｐゴシック" w:cs="ＭＳ Ｐゴシック"/>
                <w:color w:val="333333"/>
                <w:sz w:val="20"/>
                <w:szCs w:val="20"/>
              </w:rPr>
              <w:lastRenderedPageBreak/>
              <w:t xml:space="preserve">神薬 </w:t>
            </w: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lastRenderedPageBreak/>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622653401 </w:t>
            </w:r>
          </w:p>
        </w:tc>
      </w:tr>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ビーリンサイト点滴静注用３５μｇ　（輸液安定化液付） </w:t>
            </w:r>
          </w:p>
        </w:tc>
        <w:tc>
          <w:tcPr>
            <w:tcW w:w="24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瓶 </w:t>
            </w:r>
          </w:p>
        </w:tc>
        <w:tc>
          <w:tcPr>
            <w:tcW w:w="401"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281,345.00円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429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134961" w:rsidRPr="00134961" w:rsidRDefault="00134961" w:rsidP="00134961">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再発又は難治性のＢ細胞性急性リンパ性白血病</w:t>
            </w:r>
          </w:p>
          <w:p w:rsidR="00134961" w:rsidRPr="00134961" w:rsidRDefault="00134961" w:rsidP="00134961">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通常、ブリナツモマブ（遺伝子組換え）として以下の投与量を２８日間持続点滴静</w:t>
            </w:r>
          </w:p>
          <w:p w:rsidR="00134961" w:rsidRPr="00134961" w:rsidRDefault="00134961" w:rsidP="00134961">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注した後、１４日間休薬する。これを１サイクルとし、最大５サイクル繰り返す。</w:t>
            </w:r>
          </w:p>
          <w:p w:rsidR="00134961" w:rsidRPr="00134961" w:rsidRDefault="00134961" w:rsidP="00134961">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その後、ブリナツモマブ（遺伝子組換え）として以下の投与量を２８日間持続点滴</w:t>
            </w:r>
          </w:p>
          <w:p w:rsidR="00134961" w:rsidRPr="00134961" w:rsidRDefault="00134961" w:rsidP="00134961">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静注した後、５６日間休薬する。これを１サイクルとし、最大４サイクル繰り返す。なお、患者の状態により適宜減量する。</w:t>
            </w:r>
          </w:p>
          <w:p w:rsidR="00134961" w:rsidRPr="00134961" w:rsidRDefault="00134961" w:rsidP="00134961">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・体重が４５ｋｇ以上の場合：１サイクル目の１～７日目は１日９μｇ、それ以降は１日２８μｇとする。</w:t>
            </w:r>
          </w:p>
          <w:p w:rsidR="00A14B2A" w:rsidRPr="00A14B2A" w:rsidRDefault="00134961" w:rsidP="00134961">
            <w:pPr>
              <w:spacing w:after="0" w:line="270" w:lineRule="atLeast"/>
              <w:rPr>
                <w:rFonts w:ascii="メイリオ" w:eastAsia="メイリオ" w:hAnsi="メイリオ" w:cs="ＭＳ Ｐゴシック"/>
                <w:color w:val="333333"/>
                <w:sz w:val="16"/>
                <w:szCs w:val="16"/>
              </w:rPr>
            </w:pPr>
            <w:r w:rsidRPr="00134961">
              <w:rPr>
                <w:rFonts w:ascii="メイリオ" w:eastAsia="メイリオ" w:hAnsi="メイリオ" w:cs="ＭＳ Ｐゴシック" w:hint="eastAsia"/>
                <w:color w:val="333333"/>
                <w:sz w:val="16"/>
                <w:szCs w:val="16"/>
              </w:rPr>
              <w:t>・体重が４５ｋｇ未満の場合：１サイクル目の１～７日目は１日５μｇ/ｍ２（体表面積）、それ以降は１日１５μｇ/ｍ２（体表面積）とする。ただし、体重が４５ｋｇ以上の場合の投与量を超えないこと。</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622654901 </w:t>
            </w:r>
          </w:p>
        </w:tc>
      </w:tr>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フィラジル皮下注３０ｍｇシリンジ　３ｍＬ </w:t>
            </w:r>
          </w:p>
        </w:tc>
        <w:tc>
          <w:tcPr>
            <w:tcW w:w="24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筒 </w:t>
            </w:r>
          </w:p>
        </w:tc>
        <w:tc>
          <w:tcPr>
            <w:tcW w:w="401"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301,704.00円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449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7E2F53" w:rsidRPr="007E2F53" w:rsidRDefault="007E2F53" w:rsidP="007E2F53">
            <w:pPr>
              <w:spacing w:after="0" w:line="270" w:lineRule="atLeast"/>
              <w:rPr>
                <w:rFonts w:ascii="メイリオ" w:eastAsia="メイリオ" w:hAnsi="メイリオ" w:cs="ＭＳ Ｐゴシック"/>
                <w:color w:val="333333"/>
                <w:sz w:val="16"/>
                <w:szCs w:val="16"/>
              </w:rPr>
            </w:pPr>
            <w:r w:rsidRPr="007E2F53">
              <w:rPr>
                <w:rFonts w:ascii="メイリオ" w:eastAsia="メイリオ" w:hAnsi="メイリオ" w:cs="ＭＳ Ｐゴシック" w:hint="eastAsia"/>
                <w:color w:val="333333"/>
                <w:sz w:val="16"/>
                <w:szCs w:val="16"/>
              </w:rPr>
              <w:t>① 本製剤は、イカチバント製剤であり、本製剤の自己注射を行っている患者に対して指導管理を行った場合は、「診療報酬の算定方法」（平成20 年厚生労働省告示第59 号）別表第一医科診療報酬点数表（以下「医科点数表」という。）区分番号「C101」在宅自己注射指導管理料を算定できるものであること。</w:t>
            </w:r>
          </w:p>
          <w:p w:rsidR="00A14B2A" w:rsidRPr="00A14B2A" w:rsidRDefault="007E2F53" w:rsidP="007E2F53">
            <w:pPr>
              <w:spacing w:after="0" w:line="270" w:lineRule="atLeast"/>
              <w:rPr>
                <w:rFonts w:ascii="ＭＳ Ｐゴシック" w:eastAsia="ＭＳ Ｐゴシック" w:hAnsi="ＭＳ Ｐゴシック" w:cs="ＭＳ Ｐゴシック"/>
                <w:color w:val="333333"/>
                <w:sz w:val="20"/>
                <w:szCs w:val="20"/>
              </w:rPr>
            </w:pPr>
            <w:r w:rsidRPr="007E2F53">
              <w:rPr>
                <w:rFonts w:ascii="メイリオ" w:eastAsia="メイリオ" w:hAnsi="メイリオ" w:cs="ＭＳ Ｐゴシック" w:hint="eastAsia"/>
                <w:color w:val="333333"/>
                <w:sz w:val="16"/>
                <w:szCs w:val="16"/>
              </w:rPr>
              <w:t>② 本製剤は注入器一体型のキットであるため、医科点数表区分番号「C101」在宅自己注射指導管理料を算定する場合、医科点数表区分番号「C151」注入器加算は算定できないものであること。</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622657901 </w:t>
            </w:r>
          </w:p>
        </w:tc>
      </w:tr>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lastRenderedPageBreak/>
              <w:t xml:space="preserve">ジビイ静注用５００　５００国際単位（溶解液付） </w:t>
            </w:r>
          </w:p>
        </w:tc>
        <w:tc>
          <w:tcPr>
            <w:tcW w:w="24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瓶 </w:t>
            </w:r>
          </w:p>
        </w:tc>
        <w:tc>
          <w:tcPr>
            <w:tcW w:w="401"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75,376.00円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634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7E2F53" w:rsidRPr="007E2F53" w:rsidRDefault="007E2F53" w:rsidP="007E2F53">
            <w:pPr>
              <w:spacing w:after="0" w:line="270" w:lineRule="atLeast"/>
              <w:rPr>
                <w:rFonts w:ascii="メイリオ" w:eastAsia="メイリオ" w:hAnsi="メイリオ" w:cs="ＭＳ Ｐゴシック"/>
                <w:color w:val="333333"/>
                <w:sz w:val="16"/>
                <w:szCs w:val="16"/>
              </w:rPr>
            </w:pPr>
            <w:r w:rsidRPr="007E2F53">
              <w:rPr>
                <w:rFonts w:ascii="メイリオ" w:eastAsia="メイリオ" w:hAnsi="メイリオ" w:cs="ＭＳ Ｐゴシック" w:hint="eastAsia"/>
                <w:color w:val="333333"/>
                <w:sz w:val="16"/>
                <w:szCs w:val="16"/>
              </w:rPr>
              <w:t>① 本製剤は遺伝子組換え型血液凝固第Ⅷ因子製剤であり、本製剤の自己注射を行</w:t>
            </w:r>
          </w:p>
          <w:p w:rsidR="007E2F53" w:rsidRPr="007E2F53" w:rsidRDefault="007E2F53" w:rsidP="007E2F53">
            <w:pPr>
              <w:spacing w:after="0" w:line="270" w:lineRule="atLeast"/>
              <w:rPr>
                <w:rFonts w:ascii="メイリオ" w:eastAsia="メイリオ" w:hAnsi="メイリオ" w:cs="ＭＳ Ｐゴシック"/>
                <w:color w:val="333333"/>
                <w:sz w:val="16"/>
                <w:szCs w:val="16"/>
              </w:rPr>
            </w:pPr>
            <w:r w:rsidRPr="007E2F53">
              <w:rPr>
                <w:rFonts w:ascii="メイリオ" w:eastAsia="メイリオ" w:hAnsi="メイリオ" w:cs="ＭＳ Ｐゴシック" w:hint="eastAsia"/>
                <w:color w:val="333333"/>
                <w:sz w:val="16"/>
                <w:szCs w:val="16"/>
              </w:rPr>
              <w:t>っている患者に対して指導管理を行った場合は、医科点数表区分番号「C101」在</w:t>
            </w:r>
          </w:p>
          <w:p w:rsidR="007E2F53" w:rsidRPr="007E2F53" w:rsidRDefault="007E2F53" w:rsidP="007E2F53">
            <w:pPr>
              <w:spacing w:after="0" w:line="270" w:lineRule="atLeast"/>
              <w:rPr>
                <w:rFonts w:ascii="メイリオ" w:eastAsia="メイリオ" w:hAnsi="メイリオ" w:cs="ＭＳ Ｐゴシック"/>
                <w:color w:val="333333"/>
                <w:sz w:val="16"/>
                <w:szCs w:val="16"/>
              </w:rPr>
            </w:pPr>
            <w:r w:rsidRPr="007E2F53">
              <w:rPr>
                <w:rFonts w:ascii="メイリオ" w:eastAsia="メイリオ" w:hAnsi="メイリオ" w:cs="ＭＳ Ｐゴシック" w:hint="eastAsia"/>
                <w:color w:val="333333"/>
                <w:sz w:val="16"/>
                <w:szCs w:val="16"/>
              </w:rPr>
              <w:t>宅自己注射指導管理料を算定できるものであること。</w:t>
            </w:r>
          </w:p>
          <w:p w:rsidR="007E2F53" w:rsidRPr="007E2F53" w:rsidRDefault="007E2F53" w:rsidP="007E2F53">
            <w:pPr>
              <w:spacing w:after="0" w:line="270" w:lineRule="atLeast"/>
              <w:rPr>
                <w:rFonts w:ascii="メイリオ" w:eastAsia="メイリオ" w:hAnsi="メイリオ" w:cs="ＭＳ Ｐゴシック"/>
                <w:color w:val="333333"/>
                <w:sz w:val="16"/>
                <w:szCs w:val="16"/>
              </w:rPr>
            </w:pPr>
            <w:r w:rsidRPr="007E2F53">
              <w:rPr>
                <w:rFonts w:ascii="メイリオ" w:eastAsia="メイリオ" w:hAnsi="メイリオ" w:cs="ＭＳ Ｐゴシック" w:hint="eastAsia"/>
                <w:color w:val="333333"/>
                <w:sz w:val="16"/>
                <w:szCs w:val="16"/>
              </w:rPr>
              <w:t>② 本製剤は針及び注入器付の製品であるため、医科点数表区分番号「C101」在宅</w:t>
            </w:r>
          </w:p>
          <w:p w:rsidR="007E2F53" w:rsidRPr="007E2F53" w:rsidRDefault="007E2F53" w:rsidP="007E2F53">
            <w:pPr>
              <w:spacing w:after="0" w:line="270" w:lineRule="atLeast"/>
              <w:rPr>
                <w:rFonts w:ascii="メイリオ" w:eastAsia="メイリオ" w:hAnsi="メイリオ" w:cs="ＭＳ Ｐゴシック"/>
                <w:color w:val="333333"/>
                <w:sz w:val="16"/>
                <w:szCs w:val="16"/>
              </w:rPr>
            </w:pPr>
            <w:r w:rsidRPr="007E2F53">
              <w:rPr>
                <w:rFonts w:ascii="メイリオ" w:eastAsia="メイリオ" w:hAnsi="メイリオ" w:cs="ＭＳ Ｐゴシック" w:hint="eastAsia"/>
                <w:color w:val="333333"/>
                <w:sz w:val="16"/>
                <w:szCs w:val="16"/>
              </w:rPr>
              <w:t>自己注射指導管理料を算定する場合、医科点数表区分番号「C151」注入器加算及</w:t>
            </w:r>
          </w:p>
          <w:p w:rsidR="00A14B2A" w:rsidRPr="00A14B2A" w:rsidRDefault="007E2F53" w:rsidP="007E2F53">
            <w:pPr>
              <w:spacing w:after="0" w:line="270" w:lineRule="atLeast"/>
              <w:rPr>
                <w:rFonts w:ascii="ＭＳ Ｐゴシック" w:eastAsia="ＭＳ Ｐゴシック" w:hAnsi="ＭＳ Ｐゴシック" w:cs="ＭＳ Ｐゴシック"/>
                <w:color w:val="333333"/>
                <w:sz w:val="20"/>
                <w:szCs w:val="20"/>
              </w:rPr>
            </w:pPr>
            <w:r w:rsidRPr="007E2F53">
              <w:rPr>
                <w:rFonts w:ascii="メイリオ" w:eastAsia="メイリオ" w:hAnsi="メイリオ" w:cs="ＭＳ Ｐゴシック" w:hint="eastAsia"/>
                <w:color w:val="333333"/>
                <w:sz w:val="16"/>
                <w:szCs w:val="16"/>
              </w:rPr>
              <w:t>び「C153」注入器用注射針加算は算定できないものであること。</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622658001 </w:t>
            </w:r>
          </w:p>
        </w:tc>
      </w:tr>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ジビイ静注用１０００　１，０００国際単位（溶解液付） </w:t>
            </w:r>
          </w:p>
        </w:tc>
        <w:tc>
          <w:tcPr>
            <w:tcW w:w="24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瓶 </w:t>
            </w:r>
          </w:p>
        </w:tc>
        <w:tc>
          <w:tcPr>
            <w:tcW w:w="401"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139,307.00円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634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7E2F53" w:rsidP="00A14B2A">
            <w:pPr>
              <w:spacing w:after="0" w:line="270" w:lineRule="atLeast"/>
              <w:jc w:val="center"/>
              <w:rPr>
                <w:rFonts w:ascii="ＭＳ Ｐゴシック" w:eastAsia="ＭＳ Ｐゴシック" w:hAnsi="ＭＳ Ｐゴシック" w:cs="ＭＳ Ｐゴシック"/>
                <w:color w:val="333333"/>
                <w:sz w:val="20"/>
                <w:szCs w:val="20"/>
              </w:rPr>
            </w:pPr>
            <w:r>
              <w:rPr>
                <w:rFonts w:ascii="ＭＳ Ｐゴシック" w:eastAsia="ＭＳ Ｐゴシック" w:hAnsi="ＭＳ Ｐゴシック" w:cs="ＭＳ Ｐゴシック" w:hint="eastAsia"/>
                <w:color w:val="333333"/>
                <w:sz w:val="20"/>
                <w:szCs w:val="20"/>
              </w:rPr>
              <w:t>同上</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622658101 </w:t>
            </w:r>
          </w:p>
        </w:tc>
      </w:tr>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ジビイ静注用２０００　２，０００国際単位（溶解液付） </w:t>
            </w:r>
          </w:p>
        </w:tc>
        <w:tc>
          <w:tcPr>
            <w:tcW w:w="24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瓶 </w:t>
            </w:r>
          </w:p>
        </w:tc>
        <w:tc>
          <w:tcPr>
            <w:tcW w:w="401"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257,462.00円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634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7E2F53" w:rsidP="00A14B2A">
            <w:pPr>
              <w:spacing w:after="0" w:line="270" w:lineRule="atLeast"/>
              <w:jc w:val="center"/>
              <w:rPr>
                <w:rFonts w:ascii="ＭＳ Ｐゴシック" w:eastAsia="ＭＳ Ｐゴシック" w:hAnsi="ＭＳ Ｐゴシック" w:cs="ＭＳ Ｐゴシック"/>
                <w:color w:val="333333"/>
                <w:sz w:val="20"/>
                <w:szCs w:val="20"/>
              </w:rPr>
            </w:pPr>
            <w:r>
              <w:rPr>
                <w:rFonts w:ascii="ＭＳ Ｐゴシック" w:eastAsia="ＭＳ Ｐゴシック" w:hAnsi="ＭＳ Ｐゴシック" w:cs="ＭＳ Ｐゴシック" w:hint="eastAsia"/>
                <w:color w:val="333333"/>
                <w:sz w:val="20"/>
                <w:szCs w:val="20"/>
              </w:rPr>
              <w:t>同上</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622658201 </w:t>
            </w:r>
          </w:p>
        </w:tc>
      </w:tr>
      <w:tr w:rsidR="007E2F53" w:rsidRPr="00A14B2A" w:rsidTr="007E2F53">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ジビイ静注用３０００　３，０００国際単位（溶解液付） </w:t>
            </w:r>
          </w:p>
        </w:tc>
        <w:tc>
          <w:tcPr>
            <w:tcW w:w="24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瓶 </w:t>
            </w:r>
          </w:p>
        </w:tc>
        <w:tc>
          <w:tcPr>
            <w:tcW w:w="401"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368,761.00円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634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7E2F53" w:rsidP="00A14B2A">
            <w:pPr>
              <w:spacing w:after="0" w:line="270" w:lineRule="atLeast"/>
              <w:jc w:val="center"/>
              <w:rPr>
                <w:rFonts w:ascii="ＭＳ Ｐゴシック" w:eastAsia="ＭＳ Ｐゴシック" w:hAnsi="ＭＳ Ｐゴシック" w:cs="ＭＳ Ｐゴシック"/>
                <w:color w:val="333333"/>
                <w:sz w:val="20"/>
                <w:szCs w:val="20"/>
              </w:rPr>
            </w:pPr>
            <w:r>
              <w:rPr>
                <w:rFonts w:ascii="ＭＳ Ｐゴシック" w:eastAsia="ＭＳ Ｐゴシック" w:hAnsi="ＭＳ Ｐゴシック" w:cs="ＭＳ Ｐゴシック" w:hint="eastAsia"/>
                <w:color w:val="333333"/>
                <w:sz w:val="20"/>
                <w:szCs w:val="20"/>
              </w:rPr>
              <w:t>同上</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622658301 </w:t>
            </w:r>
          </w:p>
        </w:tc>
      </w:tr>
    </w:tbl>
    <w:p w:rsidR="007E2F53" w:rsidRDefault="007E2F53" w:rsidP="00A14B2A">
      <w:pPr>
        <w:spacing w:before="100" w:beforeAutospacing="1" w:after="100" w:afterAutospacing="1" w:line="240" w:lineRule="auto"/>
        <w:ind w:left="1890"/>
        <w:outlineLvl w:val="2"/>
        <w:rPr>
          <w:rFonts w:ascii="ＭＳ Ｐゴシック" w:eastAsia="ＭＳ Ｐゴシック" w:hAnsi="ＭＳ Ｐゴシック" w:cs="ＭＳ Ｐゴシック"/>
          <w:b/>
          <w:bCs/>
        </w:rPr>
      </w:pPr>
    </w:p>
    <w:p w:rsidR="00A14B2A" w:rsidRPr="00A14B2A" w:rsidRDefault="00A14B2A" w:rsidP="00A14B2A">
      <w:pPr>
        <w:spacing w:before="100" w:beforeAutospacing="1" w:after="100" w:afterAutospacing="1" w:line="240" w:lineRule="auto"/>
        <w:ind w:left="1890"/>
        <w:outlineLvl w:val="2"/>
        <w:rPr>
          <w:rFonts w:ascii="ＭＳ Ｐゴシック" w:eastAsia="ＭＳ Ｐゴシック" w:hAnsi="ＭＳ Ｐゴシック" w:cs="ＭＳ Ｐゴシック"/>
          <w:b/>
          <w:bCs/>
        </w:rPr>
      </w:pPr>
      <w:r w:rsidRPr="00A14B2A">
        <w:rPr>
          <w:rFonts w:ascii="ＭＳ Ｐゴシック" w:eastAsia="ＭＳ Ｐゴシック" w:hAnsi="ＭＳ Ｐゴシック" w:cs="ＭＳ Ｐゴシック"/>
          <w:b/>
          <w:bCs/>
        </w:rPr>
        <w:t>外用薬</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0F8FF"/>
        <w:tblLayout w:type="fixed"/>
        <w:tblCellMar>
          <w:top w:w="15" w:type="dxa"/>
          <w:left w:w="15" w:type="dxa"/>
          <w:bottom w:w="15" w:type="dxa"/>
          <w:right w:w="15" w:type="dxa"/>
        </w:tblCellMar>
        <w:tblLook w:val="04A0" w:firstRow="1" w:lastRow="0" w:firstColumn="1" w:lastColumn="0" w:noHBand="0" w:noVBand="1"/>
      </w:tblPr>
      <w:tblGrid>
        <w:gridCol w:w="2194"/>
        <w:gridCol w:w="633"/>
        <w:gridCol w:w="1051"/>
        <w:gridCol w:w="525"/>
        <w:gridCol w:w="6090"/>
        <w:gridCol w:w="210"/>
        <w:gridCol w:w="1048"/>
        <w:gridCol w:w="1385"/>
      </w:tblGrid>
      <w:tr w:rsidR="00134961" w:rsidRPr="00A14B2A" w:rsidTr="00A02A1D">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品名</w:t>
            </w:r>
          </w:p>
        </w:tc>
        <w:tc>
          <w:tcPr>
            <w:tcW w:w="241"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規格・単位</w:t>
            </w:r>
          </w:p>
        </w:tc>
        <w:tc>
          <w:tcPr>
            <w:tcW w:w="400"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薬価</w:t>
            </w:r>
          </w:p>
        </w:tc>
        <w:tc>
          <w:tcPr>
            <w:tcW w:w="200"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薬効分類</w:t>
            </w:r>
          </w:p>
        </w:tc>
        <w:tc>
          <w:tcPr>
            <w:tcW w:w="2318" w:type="pct"/>
            <w:tcBorders>
              <w:top w:val="outset" w:sz="6" w:space="0" w:color="auto"/>
              <w:left w:val="outset" w:sz="6" w:space="0" w:color="auto"/>
              <w:bottom w:val="outset" w:sz="6" w:space="0" w:color="auto"/>
              <w:right w:val="outset" w:sz="6" w:space="0" w:color="auto"/>
            </w:tcBorders>
            <w:shd w:val="clear" w:color="auto" w:fill="000066"/>
            <w:vAlign w:val="center"/>
            <w:hideMark/>
          </w:tcPr>
          <w:p w:rsidR="00A14B2A" w:rsidRPr="00A14B2A" w:rsidRDefault="00A02A1D" w:rsidP="00A14B2A">
            <w:pPr>
              <w:spacing w:after="0" w:line="270" w:lineRule="atLeast"/>
              <w:jc w:val="center"/>
              <w:rPr>
                <w:rFonts w:ascii="ＭＳ Ｐゴシック" w:eastAsia="ＭＳ Ｐゴシック" w:hAnsi="ＭＳ Ｐゴシック" w:cs="ＭＳ Ｐゴシック"/>
                <w:color w:val="FFFFFF"/>
                <w:sz w:val="20"/>
                <w:szCs w:val="20"/>
              </w:rPr>
            </w:pPr>
            <w:r>
              <w:rPr>
                <w:rFonts w:ascii="ＭＳ Ｐゴシック" w:eastAsia="ＭＳ Ｐゴシック" w:hAnsi="ＭＳ Ｐゴシック" w:cs="ＭＳ Ｐゴシック" w:hint="eastAsia"/>
                <w:color w:val="FFFFFF"/>
                <w:sz w:val="20"/>
                <w:szCs w:val="20"/>
              </w:rPr>
              <w:t>効能効果</w:t>
            </w:r>
          </w:p>
        </w:tc>
        <w:tc>
          <w:tcPr>
            <w:tcW w:w="80"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麻毒</w:t>
            </w:r>
          </w:p>
        </w:tc>
        <w:tc>
          <w:tcPr>
            <w:tcW w:w="399"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収載方式</w:t>
            </w:r>
          </w:p>
        </w:tc>
        <w:tc>
          <w:tcPr>
            <w:tcW w:w="527" w:type="pct"/>
            <w:tcBorders>
              <w:top w:val="outset" w:sz="6" w:space="0" w:color="auto"/>
              <w:left w:val="outset" w:sz="6" w:space="0" w:color="auto"/>
              <w:bottom w:val="outset" w:sz="6" w:space="0" w:color="auto"/>
              <w:right w:val="outset" w:sz="6" w:space="0" w:color="auto"/>
            </w:tcBorders>
            <w:shd w:val="clear" w:color="auto" w:fill="000066"/>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FFFFFF"/>
                <w:sz w:val="20"/>
                <w:szCs w:val="20"/>
              </w:rPr>
            </w:pPr>
            <w:r w:rsidRPr="00A14B2A">
              <w:rPr>
                <w:rFonts w:ascii="ＭＳ Ｐゴシック" w:eastAsia="ＭＳ Ｐゴシック" w:hAnsi="ＭＳ Ｐゴシック" w:cs="ＭＳ Ｐゴシック"/>
                <w:color w:val="FFFFFF"/>
                <w:sz w:val="20"/>
                <w:szCs w:val="20"/>
              </w:rPr>
              <w:t>請求コード</w:t>
            </w:r>
          </w:p>
        </w:tc>
      </w:tr>
      <w:tr w:rsidR="00134961" w:rsidRPr="00A14B2A" w:rsidTr="00A02A1D">
        <w:trPr>
          <w:tblCellSpacing w:w="0" w:type="dxa"/>
        </w:trPr>
        <w:tc>
          <w:tcPr>
            <w:tcW w:w="835"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lastRenderedPageBreak/>
              <w:t xml:space="preserve">エイベリス点眼液０．００２％ </w:t>
            </w:r>
          </w:p>
        </w:tc>
        <w:tc>
          <w:tcPr>
            <w:tcW w:w="241"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ｍＬ </w:t>
            </w:r>
          </w:p>
        </w:tc>
        <w:tc>
          <w:tcPr>
            <w:tcW w:w="400"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righ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945.30円 </w:t>
            </w:r>
          </w:p>
        </w:tc>
        <w:tc>
          <w:tcPr>
            <w:tcW w:w="20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131 </w:t>
            </w:r>
          </w:p>
        </w:tc>
        <w:tc>
          <w:tcPr>
            <w:tcW w:w="2318"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02A1D" w:rsidRPr="00A02A1D" w:rsidRDefault="00A02A1D" w:rsidP="00A02A1D">
            <w:pPr>
              <w:spacing w:after="0" w:line="270" w:lineRule="atLeast"/>
              <w:rPr>
                <w:rFonts w:ascii="メイリオ" w:eastAsia="メイリオ" w:hAnsi="メイリオ" w:cs="ＭＳ Ｐゴシック"/>
                <w:color w:val="333333"/>
                <w:sz w:val="16"/>
                <w:szCs w:val="16"/>
              </w:rPr>
            </w:pPr>
            <w:r w:rsidRPr="00A02A1D">
              <w:rPr>
                <w:rFonts w:ascii="メイリオ" w:eastAsia="メイリオ" w:hAnsi="メイリオ" w:cs="ＭＳ Ｐゴシック" w:hint="eastAsia"/>
                <w:color w:val="333333"/>
                <w:sz w:val="16"/>
                <w:szCs w:val="16"/>
              </w:rPr>
              <w:t>緑内障、高眼圧症</w:t>
            </w:r>
          </w:p>
          <w:p w:rsidR="00A14B2A" w:rsidRPr="00A14B2A" w:rsidRDefault="00A02A1D" w:rsidP="00A02A1D">
            <w:pPr>
              <w:spacing w:after="0" w:line="270" w:lineRule="atLeast"/>
              <w:rPr>
                <w:rFonts w:ascii="ＭＳ Ｐゴシック" w:eastAsia="ＭＳ Ｐゴシック" w:hAnsi="ＭＳ Ｐゴシック" w:cs="ＭＳ Ｐゴシック"/>
                <w:color w:val="333333"/>
                <w:sz w:val="20"/>
                <w:szCs w:val="20"/>
              </w:rPr>
            </w:pPr>
            <w:r w:rsidRPr="00A02A1D">
              <w:rPr>
                <w:rFonts w:ascii="メイリオ" w:eastAsia="メイリオ" w:hAnsi="メイリオ" w:cs="ＭＳ Ｐゴシック" w:hint="eastAsia"/>
                <w:color w:val="333333"/>
                <w:sz w:val="16"/>
                <w:szCs w:val="16"/>
              </w:rPr>
              <w:t>主な用法・用量１回１滴、１日１回点眼する。</w:t>
            </w:r>
          </w:p>
        </w:tc>
        <w:tc>
          <w:tcPr>
            <w:tcW w:w="80"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p>
        </w:tc>
        <w:tc>
          <w:tcPr>
            <w:tcW w:w="399" w:type="pct"/>
            <w:tcBorders>
              <w:top w:val="outset" w:sz="6" w:space="0" w:color="auto"/>
              <w:left w:val="outset" w:sz="6" w:space="0" w:color="auto"/>
              <w:bottom w:val="outset" w:sz="6" w:space="0" w:color="auto"/>
              <w:right w:val="outset" w:sz="6" w:space="0" w:color="auto"/>
            </w:tcBorders>
            <w:shd w:val="clear" w:color="auto" w:fill="F0F8FF"/>
            <w:vAlign w:val="center"/>
            <w:hideMark/>
          </w:tcPr>
          <w:p w:rsidR="00A14B2A" w:rsidRPr="00A14B2A" w:rsidRDefault="00A14B2A" w:rsidP="00A14B2A">
            <w:pPr>
              <w:spacing w:after="0" w:line="270" w:lineRule="atLeast"/>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 xml:space="preserve">官報告示等 </w:t>
            </w:r>
          </w:p>
        </w:tc>
        <w:tc>
          <w:tcPr>
            <w:tcW w:w="527" w:type="pct"/>
            <w:tcBorders>
              <w:top w:val="outset" w:sz="6" w:space="0" w:color="auto"/>
              <w:left w:val="outset" w:sz="6" w:space="0" w:color="auto"/>
              <w:bottom w:val="outset" w:sz="6" w:space="0" w:color="auto"/>
              <w:right w:val="outset" w:sz="6" w:space="0" w:color="auto"/>
            </w:tcBorders>
            <w:shd w:val="clear" w:color="auto" w:fill="F0F8FF"/>
            <w:noWrap/>
            <w:vAlign w:val="center"/>
            <w:hideMark/>
          </w:tcPr>
          <w:p w:rsidR="00A14B2A" w:rsidRPr="00A14B2A" w:rsidRDefault="00A14B2A" w:rsidP="00A14B2A">
            <w:pPr>
              <w:spacing w:after="0" w:line="270" w:lineRule="atLeast"/>
              <w:jc w:val="center"/>
              <w:rPr>
                <w:rFonts w:ascii="ＭＳ Ｐゴシック" w:eastAsia="ＭＳ Ｐゴシック" w:hAnsi="ＭＳ Ｐゴシック" w:cs="ＭＳ Ｐゴシック"/>
                <w:color w:val="333333"/>
                <w:sz w:val="20"/>
                <w:szCs w:val="20"/>
              </w:rPr>
            </w:pPr>
            <w:r w:rsidRPr="00A14B2A">
              <w:rPr>
                <w:rFonts w:ascii="ＭＳ Ｐゴシック" w:eastAsia="ＭＳ Ｐゴシック" w:hAnsi="ＭＳ Ｐゴシック" w:cs="ＭＳ Ｐゴシック"/>
                <w:color w:val="333333"/>
                <w:sz w:val="20"/>
                <w:szCs w:val="20"/>
              </w:rPr>
              <w:t>622653101</w:t>
            </w:r>
          </w:p>
        </w:tc>
      </w:tr>
    </w:tbl>
    <w:p w:rsidR="00BE4F43" w:rsidRDefault="00BE4F43"/>
    <w:sectPr w:rsidR="00BE4F43" w:rsidSect="00A14B2A">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E5F" w:rsidRDefault="00D03E5F" w:rsidP="000C6465">
      <w:pPr>
        <w:spacing w:after="0" w:line="240" w:lineRule="auto"/>
      </w:pPr>
      <w:r>
        <w:separator/>
      </w:r>
    </w:p>
  </w:endnote>
  <w:endnote w:type="continuationSeparator" w:id="0">
    <w:p w:rsidR="00D03E5F" w:rsidRDefault="00D03E5F" w:rsidP="000C6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 UI Gothic">
    <w:altName w:val="MS UI 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E5F" w:rsidRDefault="00D03E5F" w:rsidP="000C6465">
      <w:pPr>
        <w:spacing w:after="0" w:line="240" w:lineRule="auto"/>
      </w:pPr>
      <w:r>
        <w:separator/>
      </w:r>
    </w:p>
  </w:footnote>
  <w:footnote w:type="continuationSeparator" w:id="0">
    <w:p w:rsidR="00D03E5F" w:rsidRDefault="00D03E5F" w:rsidP="000C64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2A"/>
    <w:rsid w:val="000C4C96"/>
    <w:rsid w:val="000C6465"/>
    <w:rsid w:val="00134961"/>
    <w:rsid w:val="0035513F"/>
    <w:rsid w:val="00364F00"/>
    <w:rsid w:val="00371D51"/>
    <w:rsid w:val="0054649E"/>
    <w:rsid w:val="00696E4E"/>
    <w:rsid w:val="007E2F53"/>
    <w:rsid w:val="00A02A1D"/>
    <w:rsid w:val="00A14B2A"/>
    <w:rsid w:val="00B26AF6"/>
    <w:rsid w:val="00BE4F43"/>
    <w:rsid w:val="00D03E5F"/>
    <w:rsid w:val="00DD1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A57FD92F-ECA9-43EB-B9CF-BAB3F207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ja-JP"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1D51"/>
  </w:style>
  <w:style w:type="paragraph" w:styleId="1">
    <w:name w:val="heading 1"/>
    <w:basedOn w:val="a"/>
    <w:next w:val="a"/>
    <w:link w:val="10"/>
    <w:uiPriority w:val="9"/>
    <w:qFormat/>
    <w:rsid w:val="00371D51"/>
    <w:pPr>
      <w:keepNext/>
      <w:keepLines/>
      <w:pBdr>
        <w:bottom w:val="single" w:sz="4" w:space="1" w:color="4A66AC" w:themeColor="accent1"/>
      </w:pBdr>
      <w:spacing w:before="400" w:after="40" w:line="240" w:lineRule="auto"/>
      <w:outlineLvl w:val="0"/>
    </w:pPr>
    <w:rPr>
      <w:rFonts w:asciiTheme="majorHAnsi" w:eastAsiaTheme="majorEastAsia" w:hAnsiTheme="majorHAnsi" w:cstheme="majorBidi"/>
      <w:color w:val="374C80" w:themeColor="accent1" w:themeShade="BF"/>
      <w:sz w:val="36"/>
      <w:szCs w:val="36"/>
    </w:rPr>
  </w:style>
  <w:style w:type="paragraph" w:styleId="2">
    <w:name w:val="heading 2"/>
    <w:basedOn w:val="a"/>
    <w:next w:val="a"/>
    <w:link w:val="20"/>
    <w:uiPriority w:val="9"/>
    <w:unhideWhenUsed/>
    <w:qFormat/>
    <w:rsid w:val="00371D51"/>
    <w:pPr>
      <w:keepNext/>
      <w:keepLines/>
      <w:spacing w:before="160" w:after="0" w:line="240" w:lineRule="auto"/>
      <w:outlineLvl w:val="1"/>
    </w:pPr>
    <w:rPr>
      <w:rFonts w:asciiTheme="majorHAnsi" w:eastAsiaTheme="majorEastAsia" w:hAnsiTheme="majorHAnsi" w:cstheme="majorBidi"/>
      <w:color w:val="374C80" w:themeColor="accent1" w:themeShade="BF"/>
      <w:sz w:val="28"/>
      <w:szCs w:val="28"/>
    </w:rPr>
  </w:style>
  <w:style w:type="paragraph" w:styleId="3">
    <w:name w:val="heading 3"/>
    <w:basedOn w:val="a"/>
    <w:next w:val="a"/>
    <w:link w:val="30"/>
    <w:uiPriority w:val="9"/>
    <w:semiHidden/>
    <w:unhideWhenUsed/>
    <w:qFormat/>
    <w:rsid w:val="00371D51"/>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371D51"/>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371D51"/>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371D51"/>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371D51"/>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371D51"/>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371D51"/>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371D51"/>
    <w:pPr>
      <w:widowControl w:val="0"/>
      <w:autoSpaceDE w:val="0"/>
      <w:autoSpaceDN w:val="0"/>
      <w:spacing w:after="0" w:line="240" w:lineRule="auto"/>
    </w:pPr>
    <w:rPr>
      <w:rFonts w:ascii="MS UI Gothic" w:eastAsia="MS UI Gothic" w:hAnsi="MS UI Gothic" w:cs="MS UI Gothic"/>
      <w:sz w:val="22"/>
      <w:szCs w:val="22"/>
      <w:lang w:eastAsia="en-US"/>
    </w:rPr>
  </w:style>
  <w:style w:type="paragraph" w:customStyle="1" w:styleId="11">
    <w:name w:val="スタイル1"/>
    <w:basedOn w:val="a3"/>
    <w:link w:val="12"/>
    <w:qFormat/>
    <w:rsid w:val="00371D51"/>
    <w:rPr>
      <w:color w:val="002060"/>
    </w:rPr>
  </w:style>
  <w:style w:type="character" w:customStyle="1" w:styleId="12">
    <w:name w:val="スタイル1 (文字)"/>
    <w:basedOn w:val="a4"/>
    <w:link w:val="11"/>
    <w:rsid w:val="00371D51"/>
    <w:rPr>
      <w:rFonts w:asciiTheme="majorHAnsi" w:eastAsiaTheme="majorEastAsia" w:hAnsiTheme="majorHAnsi" w:cstheme="majorBidi"/>
      <w:color w:val="002060"/>
      <w:spacing w:val="-7"/>
      <w:sz w:val="80"/>
      <w:szCs w:val="80"/>
    </w:rPr>
  </w:style>
  <w:style w:type="paragraph" w:styleId="a3">
    <w:name w:val="Title"/>
    <w:basedOn w:val="a"/>
    <w:next w:val="a"/>
    <w:link w:val="a4"/>
    <w:uiPriority w:val="10"/>
    <w:qFormat/>
    <w:rsid w:val="00371D51"/>
    <w:pPr>
      <w:spacing w:after="0" w:line="240" w:lineRule="auto"/>
      <w:contextualSpacing/>
    </w:pPr>
    <w:rPr>
      <w:rFonts w:asciiTheme="majorHAnsi" w:eastAsiaTheme="majorEastAsia" w:hAnsiTheme="majorHAnsi" w:cstheme="majorBidi"/>
      <w:color w:val="374C80" w:themeColor="accent1" w:themeShade="BF"/>
      <w:spacing w:val="-7"/>
      <w:sz w:val="80"/>
      <w:szCs w:val="80"/>
    </w:rPr>
  </w:style>
  <w:style w:type="character" w:customStyle="1" w:styleId="a4">
    <w:name w:val="表題 (文字)"/>
    <w:basedOn w:val="a0"/>
    <w:link w:val="a3"/>
    <w:uiPriority w:val="10"/>
    <w:rsid w:val="00371D51"/>
    <w:rPr>
      <w:rFonts w:asciiTheme="majorHAnsi" w:eastAsiaTheme="majorEastAsia" w:hAnsiTheme="majorHAnsi" w:cstheme="majorBidi"/>
      <w:color w:val="374C80" w:themeColor="accent1" w:themeShade="BF"/>
      <w:spacing w:val="-7"/>
      <w:sz w:val="80"/>
      <w:szCs w:val="80"/>
    </w:rPr>
  </w:style>
  <w:style w:type="character" w:customStyle="1" w:styleId="10">
    <w:name w:val="見出し 1 (文字)"/>
    <w:basedOn w:val="a0"/>
    <w:link w:val="1"/>
    <w:uiPriority w:val="9"/>
    <w:rsid w:val="00371D51"/>
    <w:rPr>
      <w:rFonts w:asciiTheme="majorHAnsi" w:eastAsiaTheme="majorEastAsia" w:hAnsiTheme="majorHAnsi" w:cstheme="majorBidi"/>
      <w:color w:val="374C80" w:themeColor="accent1" w:themeShade="BF"/>
      <w:sz w:val="36"/>
      <w:szCs w:val="36"/>
    </w:rPr>
  </w:style>
  <w:style w:type="character" w:customStyle="1" w:styleId="20">
    <w:name w:val="見出し 2 (文字)"/>
    <w:basedOn w:val="a0"/>
    <w:link w:val="2"/>
    <w:uiPriority w:val="9"/>
    <w:rsid w:val="00371D51"/>
    <w:rPr>
      <w:rFonts w:asciiTheme="majorHAnsi" w:eastAsiaTheme="majorEastAsia" w:hAnsiTheme="majorHAnsi" w:cstheme="majorBidi"/>
      <w:color w:val="374C80" w:themeColor="accent1" w:themeShade="BF"/>
      <w:sz w:val="28"/>
      <w:szCs w:val="28"/>
    </w:rPr>
  </w:style>
  <w:style w:type="character" w:customStyle="1" w:styleId="30">
    <w:name w:val="見出し 3 (文字)"/>
    <w:basedOn w:val="a0"/>
    <w:link w:val="3"/>
    <w:uiPriority w:val="9"/>
    <w:semiHidden/>
    <w:rsid w:val="00371D51"/>
    <w:rPr>
      <w:rFonts w:asciiTheme="majorHAnsi" w:eastAsiaTheme="majorEastAsia" w:hAnsiTheme="majorHAnsi" w:cstheme="majorBidi"/>
      <w:color w:val="404040" w:themeColor="text1" w:themeTint="BF"/>
      <w:sz w:val="26"/>
      <w:szCs w:val="26"/>
    </w:rPr>
  </w:style>
  <w:style w:type="character" w:customStyle="1" w:styleId="40">
    <w:name w:val="見出し 4 (文字)"/>
    <w:basedOn w:val="a0"/>
    <w:link w:val="4"/>
    <w:uiPriority w:val="9"/>
    <w:semiHidden/>
    <w:rsid w:val="00371D51"/>
    <w:rPr>
      <w:rFonts w:asciiTheme="majorHAnsi" w:eastAsiaTheme="majorEastAsia" w:hAnsiTheme="majorHAnsi" w:cstheme="majorBidi"/>
      <w:sz w:val="24"/>
      <w:szCs w:val="24"/>
    </w:rPr>
  </w:style>
  <w:style w:type="character" w:customStyle="1" w:styleId="50">
    <w:name w:val="見出し 5 (文字)"/>
    <w:basedOn w:val="a0"/>
    <w:link w:val="5"/>
    <w:uiPriority w:val="9"/>
    <w:semiHidden/>
    <w:rsid w:val="00371D51"/>
    <w:rPr>
      <w:rFonts w:asciiTheme="majorHAnsi" w:eastAsiaTheme="majorEastAsia" w:hAnsiTheme="majorHAnsi" w:cstheme="majorBidi"/>
      <w:i/>
      <w:iCs/>
      <w:sz w:val="22"/>
      <w:szCs w:val="22"/>
    </w:rPr>
  </w:style>
  <w:style w:type="character" w:customStyle="1" w:styleId="60">
    <w:name w:val="見出し 6 (文字)"/>
    <w:basedOn w:val="a0"/>
    <w:link w:val="6"/>
    <w:uiPriority w:val="9"/>
    <w:semiHidden/>
    <w:rsid w:val="00371D51"/>
    <w:rPr>
      <w:rFonts w:asciiTheme="majorHAnsi" w:eastAsiaTheme="majorEastAsia" w:hAnsiTheme="majorHAnsi" w:cstheme="majorBidi"/>
      <w:color w:val="595959" w:themeColor="text1" w:themeTint="A6"/>
    </w:rPr>
  </w:style>
  <w:style w:type="character" w:customStyle="1" w:styleId="70">
    <w:name w:val="見出し 7 (文字)"/>
    <w:basedOn w:val="a0"/>
    <w:link w:val="7"/>
    <w:uiPriority w:val="9"/>
    <w:semiHidden/>
    <w:rsid w:val="00371D51"/>
    <w:rPr>
      <w:rFonts w:asciiTheme="majorHAnsi" w:eastAsiaTheme="majorEastAsia" w:hAnsiTheme="majorHAnsi" w:cstheme="majorBidi"/>
      <w:i/>
      <w:iCs/>
      <w:color w:val="595959" w:themeColor="text1" w:themeTint="A6"/>
    </w:rPr>
  </w:style>
  <w:style w:type="character" w:customStyle="1" w:styleId="80">
    <w:name w:val="見出し 8 (文字)"/>
    <w:basedOn w:val="a0"/>
    <w:link w:val="8"/>
    <w:uiPriority w:val="9"/>
    <w:semiHidden/>
    <w:rsid w:val="00371D51"/>
    <w:rPr>
      <w:rFonts w:asciiTheme="majorHAnsi" w:eastAsiaTheme="majorEastAsia" w:hAnsiTheme="majorHAnsi" w:cstheme="majorBidi"/>
      <w:smallCaps/>
      <w:color w:val="595959" w:themeColor="text1" w:themeTint="A6"/>
    </w:rPr>
  </w:style>
  <w:style w:type="character" w:customStyle="1" w:styleId="90">
    <w:name w:val="見出し 9 (文字)"/>
    <w:basedOn w:val="a0"/>
    <w:link w:val="9"/>
    <w:uiPriority w:val="9"/>
    <w:semiHidden/>
    <w:rsid w:val="00371D51"/>
    <w:rPr>
      <w:rFonts w:asciiTheme="majorHAnsi" w:eastAsiaTheme="majorEastAsia" w:hAnsiTheme="majorHAnsi" w:cstheme="majorBidi"/>
      <w:i/>
      <w:iCs/>
      <w:smallCaps/>
      <w:color w:val="595959" w:themeColor="text1" w:themeTint="A6"/>
    </w:rPr>
  </w:style>
  <w:style w:type="paragraph" w:styleId="a5">
    <w:name w:val="caption"/>
    <w:basedOn w:val="a"/>
    <w:next w:val="a"/>
    <w:uiPriority w:val="35"/>
    <w:semiHidden/>
    <w:unhideWhenUsed/>
    <w:qFormat/>
    <w:rsid w:val="00371D51"/>
    <w:pPr>
      <w:spacing w:line="240" w:lineRule="auto"/>
    </w:pPr>
    <w:rPr>
      <w:b/>
      <w:bCs/>
      <w:color w:val="404040" w:themeColor="text1" w:themeTint="BF"/>
      <w:sz w:val="20"/>
      <w:szCs w:val="20"/>
    </w:rPr>
  </w:style>
  <w:style w:type="paragraph" w:styleId="a6">
    <w:name w:val="Body Text"/>
    <w:basedOn w:val="a"/>
    <w:link w:val="a7"/>
    <w:uiPriority w:val="1"/>
    <w:qFormat/>
    <w:rsid w:val="00371D51"/>
    <w:pPr>
      <w:widowControl w:val="0"/>
      <w:autoSpaceDE w:val="0"/>
      <w:autoSpaceDN w:val="0"/>
      <w:spacing w:after="0" w:line="240" w:lineRule="auto"/>
    </w:pPr>
    <w:rPr>
      <w:rFonts w:ascii="ＭＳ 明朝" w:eastAsia="ＭＳ 明朝" w:hAnsi="ＭＳ 明朝" w:cs="ＭＳ 明朝"/>
      <w:sz w:val="22"/>
      <w:szCs w:val="22"/>
      <w:lang w:eastAsia="en-US"/>
    </w:rPr>
  </w:style>
  <w:style w:type="character" w:customStyle="1" w:styleId="a7">
    <w:name w:val="本文 (文字)"/>
    <w:basedOn w:val="a0"/>
    <w:link w:val="a6"/>
    <w:uiPriority w:val="1"/>
    <w:rsid w:val="00371D51"/>
    <w:rPr>
      <w:rFonts w:ascii="ＭＳ 明朝" w:eastAsia="ＭＳ 明朝" w:hAnsi="ＭＳ 明朝" w:cs="ＭＳ 明朝"/>
      <w:sz w:val="22"/>
      <w:szCs w:val="22"/>
      <w:lang w:eastAsia="en-US"/>
    </w:rPr>
  </w:style>
  <w:style w:type="paragraph" w:styleId="a8">
    <w:name w:val="Subtitle"/>
    <w:basedOn w:val="a"/>
    <w:next w:val="a"/>
    <w:link w:val="a9"/>
    <w:uiPriority w:val="11"/>
    <w:qFormat/>
    <w:rsid w:val="00371D5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9">
    <w:name w:val="副題 (文字)"/>
    <w:basedOn w:val="a0"/>
    <w:link w:val="a8"/>
    <w:uiPriority w:val="11"/>
    <w:rsid w:val="00371D51"/>
    <w:rPr>
      <w:rFonts w:asciiTheme="majorHAnsi" w:eastAsiaTheme="majorEastAsia" w:hAnsiTheme="majorHAnsi" w:cstheme="majorBidi"/>
      <w:color w:val="404040" w:themeColor="text1" w:themeTint="BF"/>
      <w:sz w:val="30"/>
      <w:szCs w:val="30"/>
    </w:rPr>
  </w:style>
  <w:style w:type="character" w:styleId="aa">
    <w:name w:val="Strong"/>
    <w:basedOn w:val="a0"/>
    <w:uiPriority w:val="22"/>
    <w:qFormat/>
    <w:rsid w:val="00371D51"/>
    <w:rPr>
      <w:b/>
      <w:bCs/>
    </w:rPr>
  </w:style>
  <w:style w:type="character" w:styleId="ab">
    <w:name w:val="Emphasis"/>
    <w:basedOn w:val="a0"/>
    <w:uiPriority w:val="20"/>
    <w:qFormat/>
    <w:rsid w:val="00371D51"/>
    <w:rPr>
      <w:i/>
      <w:iCs/>
    </w:rPr>
  </w:style>
  <w:style w:type="paragraph" w:styleId="ac">
    <w:name w:val="No Spacing"/>
    <w:uiPriority w:val="1"/>
    <w:qFormat/>
    <w:rsid w:val="00371D51"/>
    <w:pPr>
      <w:spacing w:after="0" w:line="240" w:lineRule="auto"/>
    </w:pPr>
  </w:style>
  <w:style w:type="paragraph" w:styleId="ad">
    <w:name w:val="List Paragraph"/>
    <w:basedOn w:val="a"/>
    <w:uiPriority w:val="1"/>
    <w:qFormat/>
    <w:rsid w:val="00371D51"/>
    <w:pPr>
      <w:widowControl w:val="0"/>
      <w:autoSpaceDE w:val="0"/>
      <w:autoSpaceDN w:val="0"/>
      <w:spacing w:before="1" w:after="0" w:line="240" w:lineRule="auto"/>
      <w:ind w:left="795" w:hanging="492"/>
    </w:pPr>
    <w:rPr>
      <w:rFonts w:ascii="ＭＳ Ｐ明朝" w:eastAsia="ＭＳ Ｐ明朝" w:hAnsi="ＭＳ Ｐ明朝" w:cs="ＭＳ Ｐ明朝"/>
      <w:sz w:val="22"/>
      <w:szCs w:val="22"/>
      <w:lang w:eastAsia="en-US"/>
    </w:rPr>
  </w:style>
  <w:style w:type="paragraph" w:styleId="ae">
    <w:name w:val="Quote"/>
    <w:basedOn w:val="a"/>
    <w:next w:val="a"/>
    <w:link w:val="af"/>
    <w:uiPriority w:val="29"/>
    <w:qFormat/>
    <w:rsid w:val="00371D51"/>
    <w:pPr>
      <w:spacing w:before="240" w:after="240" w:line="252" w:lineRule="auto"/>
      <w:ind w:left="864" w:right="864"/>
      <w:jc w:val="center"/>
    </w:pPr>
    <w:rPr>
      <w:i/>
      <w:iCs/>
    </w:rPr>
  </w:style>
  <w:style w:type="character" w:customStyle="1" w:styleId="af">
    <w:name w:val="引用文 (文字)"/>
    <w:basedOn w:val="a0"/>
    <w:link w:val="ae"/>
    <w:uiPriority w:val="29"/>
    <w:rsid w:val="00371D51"/>
    <w:rPr>
      <w:i/>
      <w:iCs/>
    </w:rPr>
  </w:style>
  <w:style w:type="paragraph" w:styleId="21">
    <w:name w:val="Intense Quote"/>
    <w:basedOn w:val="a"/>
    <w:next w:val="a"/>
    <w:link w:val="22"/>
    <w:uiPriority w:val="30"/>
    <w:qFormat/>
    <w:rsid w:val="00371D51"/>
    <w:pPr>
      <w:spacing w:before="100" w:beforeAutospacing="1" w:after="240"/>
      <w:ind w:left="864" w:right="864"/>
      <w:jc w:val="center"/>
    </w:pPr>
    <w:rPr>
      <w:rFonts w:asciiTheme="majorHAnsi" w:eastAsiaTheme="majorEastAsia" w:hAnsiTheme="majorHAnsi" w:cstheme="majorBidi"/>
      <w:color w:val="4A66AC" w:themeColor="accent1"/>
      <w:sz w:val="28"/>
      <w:szCs w:val="28"/>
    </w:rPr>
  </w:style>
  <w:style w:type="character" w:customStyle="1" w:styleId="22">
    <w:name w:val="引用文 2 (文字)"/>
    <w:basedOn w:val="a0"/>
    <w:link w:val="21"/>
    <w:uiPriority w:val="30"/>
    <w:rsid w:val="00371D51"/>
    <w:rPr>
      <w:rFonts w:asciiTheme="majorHAnsi" w:eastAsiaTheme="majorEastAsia" w:hAnsiTheme="majorHAnsi" w:cstheme="majorBidi"/>
      <w:color w:val="4A66AC" w:themeColor="accent1"/>
      <w:sz w:val="28"/>
      <w:szCs w:val="28"/>
    </w:rPr>
  </w:style>
  <w:style w:type="character" w:styleId="af0">
    <w:name w:val="Subtle Emphasis"/>
    <w:basedOn w:val="a0"/>
    <w:uiPriority w:val="19"/>
    <w:qFormat/>
    <w:rsid w:val="00371D51"/>
    <w:rPr>
      <w:i/>
      <w:iCs/>
      <w:color w:val="595959" w:themeColor="text1" w:themeTint="A6"/>
    </w:rPr>
  </w:style>
  <w:style w:type="character" w:styleId="23">
    <w:name w:val="Intense Emphasis"/>
    <w:basedOn w:val="a0"/>
    <w:uiPriority w:val="21"/>
    <w:qFormat/>
    <w:rsid w:val="00371D51"/>
    <w:rPr>
      <w:b/>
      <w:bCs/>
      <w:i/>
      <w:iCs/>
    </w:rPr>
  </w:style>
  <w:style w:type="character" w:styleId="af1">
    <w:name w:val="Subtle Reference"/>
    <w:basedOn w:val="a0"/>
    <w:uiPriority w:val="31"/>
    <w:qFormat/>
    <w:rsid w:val="00371D51"/>
    <w:rPr>
      <w:smallCaps/>
      <w:color w:val="404040" w:themeColor="text1" w:themeTint="BF"/>
    </w:rPr>
  </w:style>
  <w:style w:type="character" w:styleId="24">
    <w:name w:val="Intense Reference"/>
    <w:basedOn w:val="a0"/>
    <w:uiPriority w:val="32"/>
    <w:qFormat/>
    <w:rsid w:val="00371D51"/>
    <w:rPr>
      <w:b/>
      <w:bCs/>
      <w:smallCaps/>
      <w:u w:val="single"/>
    </w:rPr>
  </w:style>
  <w:style w:type="character" w:styleId="af2">
    <w:name w:val="Book Title"/>
    <w:basedOn w:val="a0"/>
    <w:uiPriority w:val="33"/>
    <w:qFormat/>
    <w:rsid w:val="00371D51"/>
    <w:rPr>
      <w:b/>
      <w:bCs/>
      <w:smallCaps/>
    </w:rPr>
  </w:style>
  <w:style w:type="paragraph" w:styleId="af3">
    <w:name w:val="TOC Heading"/>
    <w:basedOn w:val="1"/>
    <w:next w:val="a"/>
    <w:uiPriority w:val="39"/>
    <w:semiHidden/>
    <w:unhideWhenUsed/>
    <w:qFormat/>
    <w:rsid w:val="00371D51"/>
    <w:pPr>
      <w:outlineLvl w:val="9"/>
    </w:pPr>
  </w:style>
  <w:style w:type="paragraph" w:styleId="af4">
    <w:name w:val="Balloon Text"/>
    <w:basedOn w:val="a"/>
    <w:link w:val="af5"/>
    <w:uiPriority w:val="99"/>
    <w:semiHidden/>
    <w:unhideWhenUsed/>
    <w:rsid w:val="00364F00"/>
    <w:pPr>
      <w:spacing w:after="0" w:line="240" w:lineRule="auto"/>
    </w:pPr>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364F00"/>
    <w:rPr>
      <w:rFonts w:asciiTheme="majorHAnsi" w:eastAsiaTheme="majorEastAsia" w:hAnsiTheme="majorHAnsi" w:cstheme="majorBidi"/>
      <w:sz w:val="18"/>
      <w:szCs w:val="18"/>
    </w:rPr>
  </w:style>
  <w:style w:type="paragraph" w:styleId="af6">
    <w:name w:val="header"/>
    <w:basedOn w:val="a"/>
    <w:link w:val="af7"/>
    <w:uiPriority w:val="99"/>
    <w:unhideWhenUsed/>
    <w:rsid w:val="000C6465"/>
    <w:pPr>
      <w:tabs>
        <w:tab w:val="center" w:pos="4252"/>
        <w:tab w:val="right" w:pos="8504"/>
      </w:tabs>
      <w:snapToGrid w:val="0"/>
    </w:pPr>
  </w:style>
  <w:style w:type="character" w:customStyle="1" w:styleId="af7">
    <w:name w:val="ヘッダー (文字)"/>
    <w:basedOn w:val="a0"/>
    <w:link w:val="af6"/>
    <w:uiPriority w:val="99"/>
    <w:rsid w:val="000C6465"/>
  </w:style>
  <w:style w:type="paragraph" w:styleId="af8">
    <w:name w:val="footer"/>
    <w:basedOn w:val="a"/>
    <w:link w:val="af9"/>
    <w:uiPriority w:val="99"/>
    <w:unhideWhenUsed/>
    <w:rsid w:val="000C6465"/>
    <w:pPr>
      <w:tabs>
        <w:tab w:val="center" w:pos="4252"/>
        <w:tab w:val="right" w:pos="8504"/>
      </w:tabs>
      <w:snapToGrid w:val="0"/>
    </w:pPr>
  </w:style>
  <w:style w:type="character" w:customStyle="1" w:styleId="af9">
    <w:name w:val="フッター (文字)"/>
    <w:basedOn w:val="a0"/>
    <w:link w:val="af8"/>
    <w:uiPriority w:val="99"/>
    <w:rsid w:val="000C6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0682433">
      <w:bodyDiv w:val="1"/>
      <w:marLeft w:val="0"/>
      <w:marRight w:val="0"/>
      <w:marTop w:val="0"/>
      <w:marBottom w:val="0"/>
      <w:divBdr>
        <w:top w:val="none" w:sz="0" w:space="0" w:color="auto"/>
        <w:left w:val="none" w:sz="0" w:space="0" w:color="auto"/>
        <w:bottom w:val="none" w:sz="0" w:space="0" w:color="auto"/>
        <w:right w:val="none" w:sz="0" w:space="0" w:color="auto"/>
      </w:divBdr>
      <w:divsChild>
        <w:div w:id="1518739193">
          <w:marLeft w:val="105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クォータブル">
  <a:themeElements>
    <a:clrScheme name="暖かみのある青">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クォータブル">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クォータブル">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664</Words>
  <Characters>3790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谷原 広子</dc:creator>
  <cp:keywords/>
  <dc:description/>
  <cp:lastModifiedBy>谷原 広子</cp:lastModifiedBy>
  <cp:revision>2</cp:revision>
  <cp:lastPrinted>2018-11-26T02:16:00Z</cp:lastPrinted>
  <dcterms:created xsi:type="dcterms:W3CDTF">2018-11-26T02:44:00Z</dcterms:created>
  <dcterms:modified xsi:type="dcterms:W3CDTF">2018-11-26T02:44:00Z</dcterms:modified>
</cp:coreProperties>
</file>